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Default Extension="gif" ContentType="image/gif"/>
  <Default Extension="jpg" ContentType="image/jpeg"/>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pStyle w:val="DocTitle"/>
        <w:tabs>
          <w:tab w:val="center" w:pos="4513"/>
          <w:tab w:val="right" w:pos="9026"/>
        </w:tabs>
        <w:rPr>
          <w:rFonts w:ascii="Arial" w:hAnsi="Arial" w:cs="Arial"/>
          <w:color w:val="7395B3"/>
          <w:sz w:val="72"/>
        </w:rPr>
      </w:pPr>
      <w:r>
        <w:rPr>
          <w:rFonts w:ascii="Arial" w:hAnsi="Arial" w:cs="Arial"/>
          <w:color w:val="7395B3"/>
          <w:sz w:val="72"/>
        </w:rPr>
        <w:tab/>
      </w:r>
      <w:r>
        <w:rPr>
          <w:rFonts w:ascii="Arial" w:hAnsi="Arial" w:cs="Arial"/>
          <w:color w:val="7395B3"/>
          <w:sz w:val="72"/>
        </w:rPr>
        <w:t>Privacy Policy</w:t>
      </w:r>
      <w:r>
        <w:rPr>
          <w:rFonts w:ascii="Arial" w:hAnsi="Arial" w:cs="Arial"/>
          <w:color w:val="7395B3"/>
          <w:sz w:val="72"/>
        </w:rPr>
        <w:tab/>
      </w: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tbl>
      <w:tblPr>
        <w:tblStyle w:val="TableNoGrid0"/>
        <w:tblW w:w="0" w:type="auto"/>
        <w:tblInd w:w="0" w:type="dxa"/>
        <w:tblLook w:val="04A0" w:firstRow="1" w:lastRow="0" w:firstColumn="1" w:lastColumn="0" w:noHBand="0" w:noVBand="1"/>
      </w:tblPr>
      <w:tblGrid>
        <w:gridCol w:w="2127"/>
        <w:gridCol w:w="6889"/>
      </w:tblGrid>
      <w:tr w14:paraId="396E4DA1" w14:textId="77777777">
        <w:tc>
          <w:tcPr>
            <w:tcW w:w="2127" w:type="dxa"/>
            <w:hideMark/>
          </w:tcPr>
          <w:p>
            <w:pPr>
              <w:rPr>
                <w:rFonts w:ascii="Arial" w:hAnsi="Arial" w:cs="Arial"/>
                <w:color w:val="06162F"/>
                <w:sz w:val="28"/>
              </w:rPr>
            </w:pPr>
            <w:r>
              <w:rPr>
                <w:rStyle w:val="normaltextrun0"/>
                <w:rFonts w:ascii="Arial" w:hAnsi="Arial" w:cs="Arial"/>
                <w:color w:val="0C2B5C"/>
                <w:sz w:val="28"/>
                <w:szCs w:val="28"/>
              </w:rPr>
              <w:t>Entity</w:t>
            </w:r>
            <w:r>
              <w:rPr>
                <w:rStyle w:val="normaltextrun0"/>
                <w:rFonts w:ascii="Arial" w:hAnsi="Arial" w:cs="Arial"/>
                <w:color w:val="06162F"/>
                <w:sz w:val="28"/>
                <w:szCs w:val="28"/>
              </w:rPr>
              <w:t>: </w:t>
            </w:r>
            <w:r>
              <w:rPr>
                <w:rStyle w:val="eop0"/>
                <w:rFonts w:ascii="Arial" w:hAnsi="Arial" w:cs="Arial"/>
                <w:color w:val="06162F"/>
                <w:sz w:val="28"/>
                <w:szCs w:val="28"/>
              </w:rPr>
              <w:t> </w:t>
            </w:r>
          </w:p>
        </w:tc>
        <w:tc>
          <w:tcPr>
            <w:tcW w:w="6889" w:type="dxa"/>
          </w:tcPr>
          <w:p>
            <w:pPr>
              <w:rPr>
                <w:rFonts w:ascii="Arial" w:hAnsi="Arial" w:cs="Arial"/>
                <w:sz w:val="28"/>
                <w:szCs w:val="28"/>
                <w:lang w:val="en-GB"/>
              </w:rPr>
            </w:pPr>
            <w:r>
              <w:rPr>
                <w:rFonts w:ascii="Arial" w:hAnsi="Arial" w:cs="Arial"/>
                <w:sz w:val="28"/>
                <w:szCs w:val="28"/>
                <w:lang w:val="en-GB"/>
              </w:rPr>
              <w:t>Endure Wealth Pty Ltd</w:t>
            </w:r>
          </w:p>
          <w:p>
            <w:pPr>
              <w:rPr>
                <w:rFonts w:ascii="Arial" w:hAnsi="Arial" w:cs="Arial"/>
                <w:color w:val="000066"/>
                <w:sz w:val="28"/>
                <w:szCs w:val="22"/>
              </w:rPr>
            </w:pPr>
          </w:p>
        </w:tc>
      </w:tr>
      <w:tr w14:paraId="656F4C09" w14:textId="77777777">
        <w:tc>
          <w:tcPr>
            <w:tcW w:w="2127" w:type="dxa"/>
            <w:hideMark/>
          </w:tcPr>
          <w:p>
            <w:pPr>
              <w:rPr>
                <w:rFonts w:ascii="Arial" w:hAnsi="Arial" w:cs="Arial"/>
                <w:color w:val="06162F"/>
                <w:sz w:val="28"/>
              </w:rPr>
            </w:pPr>
            <w:r>
              <w:rPr>
                <w:rStyle w:val="normaltextrun0"/>
                <w:rFonts w:ascii="Arial" w:hAnsi="Arial" w:cs="Arial"/>
                <w:color w:val="06162F"/>
                <w:sz w:val="28"/>
                <w:szCs w:val="28"/>
              </w:rPr>
              <w:t>ABN: </w:t>
            </w:r>
            <w:r>
              <w:rPr>
                <w:rStyle w:val="eop0"/>
                <w:rFonts w:ascii="Arial" w:hAnsi="Arial" w:cs="Arial"/>
                <w:color w:val="06162F"/>
                <w:sz w:val="28"/>
                <w:szCs w:val="28"/>
              </w:rPr>
              <w:t> </w:t>
            </w:r>
          </w:p>
        </w:tc>
        <w:tc>
          <w:tcPr>
            <w:tcW w:w="6889" w:type="dxa"/>
            <w:hideMark/>
          </w:tcPr>
          <w:p>
            <w:pPr>
              <w:rPr>
                <w:rFonts w:ascii="Arial" w:hAnsi="Arial" w:cs="Arial"/>
                <w:sz w:val="28"/>
                <w:szCs w:val="28"/>
                <w:lang w:val="en-GB"/>
              </w:rPr>
            </w:pPr>
            <w:r>
              <w:rPr>
                <w:rFonts w:ascii="Arial" w:hAnsi="Arial" w:cs="Arial"/>
                <w:sz w:val="28"/>
                <w:szCs w:val="28"/>
                <w:lang w:val="en-GB"/>
              </w:rPr>
              <w:t>87 632 221 713</w:t>
            </w:r>
          </w:p>
          <w:p>
            <w:pPr>
              <w:rPr>
                <w:rFonts w:ascii="Arial" w:hAnsi="Arial" w:cs="Arial"/>
                <w:color w:val="000066"/>
                <w:sz w:val="28"/>
                <w:szCs w:val="22"/>
              </w:rPr>
            </w:pPr>
            <w:r>
              <w:rPr>
                <w:rStyle w:val="eop0"/>
                <w:rFonts w:ascii="Arial" w:hAnsi="Arial" w:cs="Arial"/>
                <w:color w:val="000066"/>
                <w:sz w:val="28"/>
                <w:szCs w:val="28"/>
              </w:rPr>
              <w:t> </w:t>
            </w:r>
          </w:p>
        </w:tc>
      </w:tr>
      <w:tr w14:paraId="4482423E" w14:textId="77777777">
        <w:tc>
          <w:tcPr>
            <w:tcW w:w="2127" w:type="dxa"/>
            <w:hideMark/>
          </w:tcPr>
          <w:p>
            <w:pPr>
              <w:rPr>
                <w:rFonts w:ascii="Arial" w:hAnsi="Arial" w:cs="Arial"/>
                <w:color w:val="06162F"/>
                <w:sz w:val="28"/>
              </w:rPr>
            </w:pPr>
            <w:r>
              <w:rPr>
                <w:rStyle w:val="normaltextrun0"/>
                <w:rFonts w:ascii="Arial" w:hAnsi="Arial" w:cs="Arial"/>
                <w:color w:val="06162F"/>
                <w:sz w:val="28"/>
                <w:szCs w:val="28"/>
              </w:rPr>
              <w:t>AFSL:</w:t>
            </w:r>
            <w:r>
              <w:rPr>
                <w:rStyle w:val="eop0"/>
                <w:rFonts w:ascii="Arial" w:hAnsi="Arial" w:cs="Arial"/>
                <w:color w:val="06162F"/>
                <w:sz w:val="28"/>
                <w:szCs w:val="28"/>
              </w:rPr>
              <w:t> </w:t>
            </w:r>
          </w:p>
        </w:tc>
        <w:tc>
          <w:tcPr>
            <w:tcW w:w="6889" w:type="dxa"/>
          </w:tcPr>
          <w:p>
            <w:pPr>
              <w:rPr>
                <w:rFonts w:ascii="Arial" w:hAnsi="Arial" w:cs="Arial"/>
                <w:sz w:val="28"/>
                <w:szCs w:val="28"/>
                <w:lang w:val="en-GB"/>
              </w:rPr>
            </w:pPr>
            <w:r>
              <w:rPr>
                <w:rFonts w:ascii="Arial" w:hAnsi="Arial" w:cs="Arial"/>
                <w:sz w:val="28"/>
                <w:szCs w:val="28"/>
                <w:lang w:val="en-GB"/>
              </w:rPr>
              <w:t>516435</w:t>
            </w:r>
          </w:p>
          <w:p>
            <w:pPr>
              <w:rPr>
                <w:rFonts w:ascii="Arial" w:hAnsi="Arial" w:cs="Arial"/>
                <w:color w:val="000066"/>
                <w:sz w:val="28"/>
                <w:szCs w:val="22"/>
              </w:rPr>
            </w:pPr>
          </w:p>
        </w:tc>
      </w:tr>
    </w:tbl>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color w:val="7395B3"/>
          <w:sz w:val="32"/>
          <w:szCs w:val="32"/>
        </w:rPr>
      </w:pPr>
      <w:r>
        <w:rPr>
          <w:rFonts w:ascii="Arial" w:hAnsi="Arial" w:cs="Arial"/>
          <w:color w:val="7395B3"/>
          <w:sz w:val="32"/>
          <w:szCs w:val="32"/>
        </w:rPr>
        <w:br w:type="page"/>
      </w:r>
    </w:p>
    <w:p>
      <w:pPr>
        <w:rPr>
          <w:rFonts w:ascii="Arial" w:hAnsi="Arial" w:cs="Arial"/>
          <w:color w:val="7395B3"/>
          <w:sz w:val="32"/>
          <w:szCs w:val="32"/>
        </w:rPr>
      </w:pPr>
      <w:r>
        <w:rPr>
          <w:rFonts w:ascii="Arial" w:hAnsi="Arial" w:cs="Arial"/>
          <w:color w:val="7395B3"/>
          <w:sz w:val="32"/>
          <w:szCs w:val="32"/>
        </w:rPr>
        <w:lastRenderedPageBreak/>
        <w:t>Contents</w:t>
      </w:r>
    </w:p>
    <w:p>
      <w:pPr>
        <w:pStyle w:val="TOC2"/>
        <w:rPr>
          <w:rFonts w:ascii="Arial" w:hAnsi="Arial" w:cs="Arial"/>
          <w:b w:val="0"/>
          <w:sz w:val="22"/>
        </w:rPr>
      </w:pPr>
    </w:p>
    <w:p>
      <w:pPr>
        <w:pStyle w:val="TOC2"/>
        <w:rPr>
          <w:rFonts w:ascii="Arial" w:eastAsiaTheme="minorEastAsia" w:hAnsi="Arial" w:cs="Arial"/>
          <w:b w:val="0"/>
          <w:kern w:val="2"/>
          <w:sz w:val="24"/>
          <w:szCs w:val="24"/>
          <w14:ligatures w14:val="standardContextual"/>
        </w:rPr>
      </w:pPr>
      <w:r>
        <w:rPr>
          <w:rFonts w:ascii="Arial" w:hAnsi="Arial" w:cs="Arial"/>
          <w:b w:val="0"/>
          <w:sz w:val="22"/>
        </w:rPr>
        <w:fldChar w:fldCharType="begin"/>
      </w:r>
      <w:r>
        <w:rPr>
          <w:rFonts w:ascii="Arial" w:hAnsi="Arial" w:cs="Arial"/>
          <w:b w:val="0"/>
          <w:sz w:val="22"/>
        </w:rPr>
        <w:instrText xml:space="preserve"> TOC \o "2-3" \f \h \z ###ESCAPEDU### </w:instrText>
      </w:r>
      <w:r>
        <w:rPr>
          <w:rFonts w:ascii="Arial" w:hAnsi="Arial" w:cs="Arial"/>
          <w:b w:val="0"/>
          <w:sz w:val="22"/>
        </w:rPr>
        <w:fldChar w:fldCharType="separate"/>
      </w:r>
      <w:hyperlink w:anchor="_Toc208993559" w:history="1">
        <w:r>
          <w:rPr>
            <w:rStyle w:val="Hyperlink"/>
            <w:rFonts w:ascii="Arial" w:hAnsi="Arial" w:cs="Arial"/>
          </w:rPr>
          <w:t>1.</w:t>
        </w:r>
        <w:r>
          <w:rPr>
            <w:rFonts w:ascii="Arial" w:eastAsiaTheme="minorEastAsia" w:hAnsi="Arial" w:cs="Arial"/>
            <w:b w:val="0"/>
            <w:kern w:val="2"/>
            <w:sz w:val="24"/>
            <w:szCs w:val="24"/>
            <w14:ligatures w14:val="standardContextual"/>
          </w:rPr>
          <w:tab/>
        </w:r>
        <w:r>
          <w:rPr>
            <w:rStyle w:val="Hyperlink"/>
            <w:rFonts w:ascii="Arial" w:hAnsi="Arial" w:cs="Arial"/>
          </w:rPr>
          <w:t>Overview</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_Toc208993559 \h </w:instrText>
        </w:r>
        <w:r>
          <w:rPr>
            <w:rFonts w:ascii="Arial" w:hAnsi="Arial" w:cs="Arial"/>
            <w:webHidden/>
          </w:rPr>
        </w:r>
        <w:r>
          <w:rPr>
            <w:rFonts w:ascii="Arial" w:hAnsi="Arial" w:cs="Arial"/>
            <w:webHidden/>
          </w:rPr>
          <w:fldChar w:fldCharType="separate"/>
        </w:r>
        <w:r>
          <w:rPr>
            <w:rFonts w:ascii="Arial" w:hAnsi="Arial" w:cs="Arial"/>
            <w:webHidden/>
          </w:rPr>
          <w:t>1</w:t>
        </w:r>
        <w:r>
          <w:rPr>
            <w:rFonts w:ascii="Arial" w:hAnsi="Arial" w:cs="Arial"/>
            <w:webHidden/>
          </w:rPr>
          <w:fldChar w:fldCharType="end"/>
        </w:r>
      </w:hyperlink>
    </w:p>
    <w:p>
      <w:pPr>
        <w:pStyle w:val="TOC2"/>
        <w:rPr>
          <w:rFonts w:ascii="Arial" w:eastAsiaTheme="minorEastAsia" w:hAnsi="Arial" w:cs="Arial"/>
          <w:b w:val="0"/>
          <w:kern w:val="2"/>
          <w:sz w:val="24"/>
          <w:szCs w:val="24"/>
          <w14:ligatures w14:val="standardContextual"/>
        </w:rPr>
      </w:pPr>
      <w:hyperlink w:anchor="_Toc208993560" w:history="1">
        <w:r>
          <w:rPr>
            <w:rStyle w:val="Hyperlink"/>
            <w:rFonts w:ascii="Arial" w:hAnsi="Arial" w:cs="Arial"/>
          </w:rPr>
          <w:t>2.</w:t>
        </w:r>
        <w:r>
          <w:rPr>
            <w:rFonts w:ascii="Arial" w:eastAsiaTheme="minorEastAsia" w:hAnsi="Arial" w:cs="Arial"/>
            <w:b w:val="0"/>
            <w:kern w:val="2"/>
            <w:sz w:val="24"/>
            <w:szCs w:val="24"/>
            <w14:ligatures w14:val="standardContextual"/>
          </w:rPr>
          <w:tab/>
        </w:r>
        <w:r>
          <w:rPr>
            <w:rStyle w:val="Hyperlink"/>
            <w:rFonts w:ascii="Arial" w:hAnsi="Arial" w:cs="Arial"/>
          </w:rPr>
          <w:t>What is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_Toc208993560 \h </w:instrText>
        </w:r>
        <w:r>
          <w:rPr>
            <w:rFonts w:ascii="Arial" w:hAnsi="Arial" w:cs="Arial"/>
            <w:webHidden/>
          </w:rPr>
        </w:r>
        <w:r>
          <w:rPr>
            <w:rFonts w:ascii="Arial" w:hAnsi="Arial" w:cs="Arial"/>
            <w:webHidden/>
          </w:rPr>
          <w:fldChar w:fldCharType="separate"/>
        </w:r>
        <w:r>
          <w:rPr>
            <w:rFonts w:ascii="Arial" w:hAnsi="Arial" w:cs="Arial"/>
            <w:webHidden/>
          </w:rPr>
          <w:t>1</w:t>
        </w:r>
        <w:r>
          <w:rPr>
            <w:rFonts w:ascii="Arial" w:hAnsi="Arial" w:cs="Arial"/>
            <w:webHidden/>
          </w:rPr>
          <w:fldChar w:fldCharType="end"/>
        </w:r>
      </w:hyperlink>
    </w:p>
    <w:p>
      <w:pPr>
        <w:pStyle w:val="TOC2"/>
        <w:rPr>
          <w:rFonts w:ascii="Arial" w:eastAsiaTheme="minorEastAsia" w:hAnsi="Arial" w:cs="Arial"/>
          <w:b w:val="0"/>
          <w:kern w:val="2"/>
          <w:sz w:val="24"/>
          <w:szCs w:val="24"/>
          <w14:ligatures w14:val="standardContextual"/>
        </w:rPr>
      </w:pPr>
      <w:hyperlink w:anchor="_Toc208993561" w:history="1">
        <w:r>
          <w:rPr>
            <w:rStyle w:val="Hyperlink"/>
            <w:rFonts w:ascii="Arial" w:hAnsi="Arial" w:cs="Arial"/>
          </w:rPr>
          <w:t>3.</w:t>
        </w:r>
        <w:r>
          <w:rPr>
            <w:rFonts w:ascii="Arial" w:eastAsiaTheme="minorEastAsia" w:hAnsi="Arial" w:cs="Arial"/>
            <w:b w:val="0"/>
            <w:kern w:val="2"/>
            <w:sz w:val="24"/>
            <w:szCs w:val="24"/>
            <w14:ligatures w14:val="standardContextual"/>
          </w:rPr>
          <w:tab/>
        </w:r>
        <w:r>
          <w:rPr>
            <w:rStyle w:val="Hyperlink"/>
            <w:rFonts w:ascii="Arial" w:hAnsi="Arial" w:cs="Arial"/>
          </w:rPr>
          <w:t>Collection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_Toc208993561 \h </w:instrText>
        </w:r>
        <w:r>
          <w:rPr>
            <w:rFonts w:ascii="Arial" w:hAnsi="Arial" w:cs="Arial"/>
            <w:webHidden/>
          </w:rPr>
        </w:r>
        <w:r>
          <w:rPr>
            <w:rFonts w:ascii="Arial" w:hAnsi="Arial" w:cs="Arial"/>
            <w:webHidden/>
          </w:rPr>
          <w:fldChar w:fldCharType="separate"/>
        </w:r>
        <w:r>
          <w:rPr>
            <w:rFonts w:ascii="Arial" w:hAnsi="Arial" w:cs="Arial"/>
            <w:webHidden/>
          </w:rPr>
          <w:t>1</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2" w:history="1">
        <w:r>
          <w:rPr>
            <w:rStyle w:val="Hyperlink"/>
            <w:rFonts w:ascii="Arial" w:hAnsi="Arial" w:cs="Arial"/>
          </w:rPr>
          <w:t xml:space="preserve">3.1 </w:t>
        </w:r>
        <w:r>
          <w:rPr>
            <w:rFonts w:ascii="Arial" w:eastAsiaTheme="minorEastAsia" w:hAnsi="Arial" w:cs="Arial"/>
            <w:kern w:val="2"/>
            <w:sz w:val="24"/>
            <w:szCs w:val="24"/>
            <w14:ligatures w14:val="standardContextual"/>
          </w:rPr>
          <w:tab/>
        </w:r>
        <w:r>
          <w:rPr>
            <w:rStyle w:val="Hyperlink"/>
            <w:rFonts w:ascii="Arial" w:hAnsi="Arial" w:cs="Arial"/>
          </w:rPr>
          <w:t>Collection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_Toc208993562 \h </w:instrText>
        </w:r>
        <w:r>
          <w:rPr>
            <w:rFonts w:ascii="Arial" w:hAnsi="Arial" w:cs="Arial"/>
            <w:webHidden/>
          </w:rPr>
        </w:r>
        <w:r>
          <w:rPr>
            <w:rFonts w:ascii="Arial" w:hAnsi="Arial" w:cs="Arial"/>
            <w:webHidden/>
          </w:rPr>
          <w:fldChar w:fldCharType="separate"/>
        </w:r>
        <w:r>
          <w:rPr>
            <w:rFonts w:ascii="Arial" w:hAnsi="Arial" w:cs="Arial"/>
            <w:webHidden/>
          </w:rPr>
          <w:t>1</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3" w:history="1">
        <w:r>
          <w:rPr>
            <w:rStyle w:val="Hyperlink"/>
            <w:rFonts w:ascii="Arial" w:hAnsi="Arial" w:cs="Arial"/>
          </w:rPr>
          <w:t xml:space="preserve">3.2 </w:t>
        </w:r>
        <w:r>
          <w:rPr>
            <w:rFonts w:ascii="Arial" w:eastAsiaTheme="minorEastAsia" w:hAnsi="Arial" w:cs="Arial"/>
            <w:kern w:val="2"/>
            <w:sz w:val="24"/>
            <w:szCs w:val="24"/>
            <w14:ligatures w14:val="standardContextual"/>
          </w:rPr>
          <w:tab/>
        </w:r>
        <w:r>
          <w:rPr>
            <w:rStyle w:val="Hyperlink"/>
            <w:rFonts w:ascii="Arial" w:hAnsi="Arial" w:cs="Arial"/>
          </w:rPr>
          <w:t>Dealing with unsolicited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_Toc208993563 \h </w:instrText>
        </w:r>
        <w:r>
          <w:rPr>
            <w:rFonts w:ascii="Arial" w:hAnsi="Arial" w:cs="Arial"/>
            <w:webHidden/>
          </w:rPr>
        </w:r>
        <w:r>
          <w:rPr>
            <w:rFonts w:ascii="Arial" w:hAnsi="Arial" w:cs="Arial"/>
            <w:webHidden/>
          </w:rPr>
          <w:fldChar w:fldCharType="separate"/>
        </w:r>
        <w:r>
          <w:rPr>
            <w:rFonts w:ascii="Arial" w:hAnsi="Arial" w:cs="Arial"/>
            <w:webHidden/>
          </w:rPr>
          <w:t>2</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4" w:history="1">
        <w:r>
          <w:rPr>
            <w:rStyle w:val="Hyperlink"/>
            <w:rFonts w:ascii="Arial" w:hAnsi="Arial" w:cs="Arial"/>
          </w:rPr>
          <w:t xml:space="preserve">3.3 </w:t>
        </w:r>
        <w:r>
          <w:rPr>
            <w:rFonts w:ascii="Arial" w:eastAsiaTheme="minorEastAsia" w:hAnsi="Arial" w:cs="Arial"/>
            <w:kern w:val="2"/>
            <w:sz w:val="24"/>
            <w:szCs w:val="24"/>
            <w14:ligatures w14:val="standardContextual"/>
          </w:rPr>
          <w:tab/>
        </w:r>
        <w:r>
          <w:rPr>
            <w:rStyle w:val="Hyperlink"/>
            <w:rFonts w:ascii="Arial" w:hAnsi="Arial" w:cs="Arial"/>
          </w:rPr>
          <w:t>Notification of the collection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_Toc208993564 \h </w:instrText>
        </w:r>
        <w:r>
          <w:rPr>
            <w:rFonts w:ascii="Arial" w:hAnsi="Arial" w:cs="Arial"/>
            <w:webHidden/>
          </w:rPr>
        </w:r>
        <w:r>
          <w:rPr>
            <w:rFonts w:ascii="Arial" w:hAnsi="Arial" w:cs="Arial"/>
            <w:webHidden/>
          </w:rPr>
          <w:fldChar w:fldCharType="separate"/>
        </w:r>
        <w:r>
          <w:rPr>
            <w:rFonts w:ascii="Arial" w:hAnsi="Arial" w:cs="Arial"/>
            <w:webHidden/>
          </w:rPr>
          <w:t>2</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5" w:history="1">
        <w:r>
          <w:rPr>
            <w:rStyle w:val="Hyperlink"/>
            <w:rFonts w:ascii="Arial" w:hAnsi="Arial" w:cs="Arial"/>
          </w:rPr>
          <w:t xml:space="preserve">3.4 </w:t>
        </w:r>
        <w:r>
          <w:rPr>
            <w:rFonts w:ascii="Arial" w:eastAsiaTheme="minorEastAsia" w:hAnsi="Arial" w:cs="Arial"/>
            <w:kern w:val="2"/>
            <w:sz w:val="24"/>
            <w:szCs w:val="24"/>
            <w14:ligatures w14:val="standardContextual"/>
          </w:rPr>
          <w:tab/>
        </w:r>
        <w:r>
          <w:rPr>
            <w:rStyle w:val="Hyperlink"/>
            <w:rFonts w:ascii="Arial" w:hAnsi="Arial" w:cs="Arial"/>
          </w:rPr>
          <w:t>Anonymity and pseudonymity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_Toc208993565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6" w:history="1">
        <w:r>
          <w:rPr>
            <w:rStyle w:val="Hyperlink"/>
            <w:rFonts w:ascii="Arial" w:hAnsi="Arial" w:cs="Arial"/>
          </w:rPr>
          <w:t xml:space="preserve">3.5 </w:t>
        </w:r>
        <w:r>
          <w:rPr>
            <w:rFonts w:ascii="Arial" w:eastAsiaTheme="minorEastAsia" w:hAnsi="Arial" w:cs="Arial"/>
            <w:kern w:val="2"/>
            <w:sz w:val="24"/>
            <w:szCs w:val="24"/>
            <w14:ligatures w14:val="standardContextual"/>
          </w:rPr>
          <w:tab/>
        </w:r>
        <w:r>
          <w:rPr>
            <w:rStyle w:val="Hyperlink"/>
            <w:rFonts w:ascii="Arial" w:hAnsi="Arial" w:cs="Arial"/>
          </w:rPr>
          <w:t>If you don't provide us with the information we request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_Toc208993566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2"/>
        <w:rPr>
          <w:rFonts w:ascii="Arial" w:eastAsiaTheme="minorEastAsia" w:hAnsi="Arial" w:cs="Arial"/>
          <w:b w:val="0"/>
          <w:kern w:val="2"/>
          <w:sz w:val="24"/>
          <w:szCs w:val="24"/>
          <w14:ligatures w14:val="standardContextual"/>
        </w:rPr>
      </w:pPr>
      <w:hyperlink w:anchor="_Toc208993567" w:history="1">
        <w:r>
          <w:rPr>
            <w:rStyle w:val="Hyperlink"/>
            <w:rFonts w:ascii="Arial" w:hAnsi="Arial" w:cs="Arial"/>
          </w:rPr>
          <w:t>4.</w:t>
        </w:r>
        <w:r>
          <w:rPr>
            <w:rFonts w:ascii="Arial" w:eastAsiaTheme="minorEastAsia" w:hAnsi="Arial" w:cs="Arial"/>
            <w:b w:val="0"/>
            <w:kern w:val="2"/>
            <w:sz w:val="24"/>
            <w:szCs w:val="24"/>
            <w14:ligatures w14:val="standardContextual"/>
          </w:rPr>
          <w:tab/>
        </w:r>
        <w:r>
          <w:rPr>
            <w:rStyle w:val="Hyperlink"/>
            <w:rFonts w:ascii="Arial" w:hAnsi="Arial" w:cs="Arial"/>
          </w:rPr>
          <w:t>Use or disclosure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_Toc208993567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8" w:history="1">
        <w:r>
          <w:rPr>
            <w:rStyle w:val="Hyperlink"/>
            <w:rFonts w:ascii="Arial" w:hAnsi="Arial" w:cs="Arial"/>
          </w:rPr>
          <w:t xml:space="preserve">4.1 </w:t>
        </w:r>
        <w:r>
          <w:rPr>
            <w:rFonts w:ascii="Arial" w:eastAsiaTheme="minorEastAsia" w:hAnsi="Arial" w:cs="Arial"/>
            <w:kern w:val="2"/>
            <w:sz w:val="24"/>
            <w:szCs w:val="24"/>
            <w14:ligatures w14:val="standardContextual"/>
          </w:rPr>
          <w:tab/>
        </w:r>
        <w:r>
          <w:rPr>
            <w:rStyle w:val="Hyperlink"/>
            <w:rFonts w:ascii="Arial" w:hAnsi="Arial" w:cs="Arial"/>
          </w:rPr>
          <w:t>Direct Marketing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_Toc208993568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69" w:history="1">
        <w:r>
          <w:rPr>
            <w:rStyle w:val="Hyperlink"/>
            <w:rFonts w:ascii="Arial" w:hAnsi="Arial" w:cs="Arial"/>
          </w:rPr>
          <w:t xml:space="preserve">4.2 </w:t>
        </w:r>
        <w:r>
          <w:rPr>
            <w:rFonts w:ascii="Arial" w:eastAsiaTheme="minorEastAsia" w:hAnsi="Arial" w:cs="Arial"/>
            <w:kern w:val="2"/>
            <w:sz w:val="24"/>
            <w:szCs w:val="24"/>
            <w14:ligatures w14:val="standardContextual"/>
          </w:rPr>
          <w:tab/>
        </w:r>
        <w:r>
          <w:rPr>
            <w:rStyle w:val="Hyperlink"/>
            <w:rFonts w:ascii="Arial" w:hAnsi="Arial" w:cs="Arial"/>
          </w:rPr>
          <w:t>Disclosure of information overseas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_Toc208993569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2"/>
        <w:rPr>
          <w:rFonts w:ascii="Arial" w:eastAsiaTheme="minorEastAsia" w:hAnsi="Arial" w:cs="Arial"/>
          <w:b w:val="0"/>
          <w:kern w:val="2"/>
          <w:sz w:val="24"/>
          <w:szCs w:val="24"/>
          <w14:ligatures w14:val="standardContextual"/>
        </w:rPr>
      </w:pPr>
      <w:hyperlink w:anchor="_Toc208993570" w:history="1">
        <w:r>
          <w:rPr>
            <w:rStyle w:val="Hyperlink"/>
            <w:rFonts w:ascii="Arial" w:hAnsi="Arial" w:cs="Arial"/>
          </w:rPr>
          <w:t>5.</w:t>
        </w:r>
        <w:r>
          <w:rPr>
            <w:rFonts w:ascii="Arial" w:eastAsiaTheme="minorEastAsia" w:hAnsi="Arial" w:cs="Arial"/>
            <w:b w:val="0"/>
            <w:kern w:val="2"/>
            <w:sz w:val="24"/>
            <w:szCs w:val="24"/>
            <w14:ligatures w14:val="standardContextual"/>
          </w:rPr>
          <w:tab/>
        </w:r>
        <w:r>
          <w:rPr>
            <w:rStyle w:val="Hyperlink"/>
            <w:rFonts w:ascii="Arial" w:hAnsi="Arial" w:cs="Arial"/>
          </w:rPr>
          <w:t>Security and access to your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_Toc208993570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1" w:history="1">
        <w:r>
          <w:rPr>
            <w:rStyle w:val="Hyperlink"/>
            <w:rFonts w:ascii="Arial" w:hAnsi="Arial" w:cs="Arial"/>
          </w:rPr>
          <w:t xml:space="preserve">5.1 </w:t>
        </w:r>
        <w:r>
          <w:rPr>
            <w:rFonts w:ascii="Arial" w:eastAsiaTheme="minorEastAsia" w:hAnsi="Arial" w:cs="Arial"/>
            <w:kern w:val="2"/>
            <w:sz w:val="24"/>
            <w:szCs w:val="24"/>
            <w14:ligatures w14:val="standardContextual"/>
          </w:rPr>
          <w:tab/>
        </w:r>
        <w:r>
          <w:rPr>
            <w:rStyle w:val="Hyperlink"/>
            <w:rFonts w:ascii="Arial" w:hAnsi="Arial" w:cs="Arial"/>
          </w:rPr>
          <w:t>Information accuracy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_Toc208993571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2" w:history="1">
        <w:r>
          <w:rPr>
            <w:rStyle w:val="Hyperlink"/>
            <w:rFonts w:ascii="Arial" w:hAnsi="Arial" w:cs="Arial"/>
          </w:rPr>
          <w:t xml:space="preserve">5.2 </w:t>
        </w:r>
        <w:r>
          <w:rPr>
            <w:rFonts w:ascii="Arial" w:eastAsiaTheme="minorEastAsia" w:hAnsi="Arial" w:cs="Arial"/>
            <w:kern w:val="2"/>
            <w:sz w:val="24"/>
            <w:szCs w:val="24"/>
            <w14:ligatures w14:val="standardContextual"/>
          </w:rPr>
          <w:tab/>
        </w:r>
        <w:r>
          <w:rPr>
            <w:rStyle w:val="Hyperlink"/>
            <w:rFonts w:ascii="Arial" w:hAnsi="Arial" w:cs="Arial"/>
          </w:rPr>
          <w:t>Security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_Toc208993572 \h </w:instrText>
        </w:r>
        <w:r>
          <w:rPr>
            <w:rFonts w:ascii="Arial" w:hAnsi="Arial" w:cs="Arial"/>
            <w:webHidden/>
          </w:rPr>
        </w:r>
        <w:r>
          <w:rPr>
            <w:rFonts w:ascii="Arial" w:hAnsi="Arial" w:cs="Arial"/>
            <w:webHidden/>
          </w:rPr>
          <w:fldChar w:fldCharType="separate"/>
        </w:r>
        <w:r>
          <w:rPr>
            <w:rFonts w:ascii="Arial" w:hAnsi="Arial" w:cs="Arial"/>
            <w:webHidden/>
          </w:rPr>
          <w:t>3</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3" w:history="1">
        <w:r>
          <w:rPr>
            <w:rStyle w:val="Hyperlink"/>
            <w:rFonts w:ascii="Arial" w:hAnsi="Arial" w:cs="Arial"/>
          </w:rPr>
          <w:t xml:space="preserve">5.3 </w:t>
        </w:r>
        <w:r>
          <w:rPr>
            <w:rFonts w:ascii="Arial" w:eastAsiaTheme="minorEastAsia" w:hAnsi="Arial" w:cs="Arial"/>
            <w:kern w:val="2"/>
            <w:sz w:val="24"/>
            <w:szCs w:val="24"/>
            <w14:ligatures w14:val="standardContextual"/>
          </w:rPr>
          <w:tab/>
        </w:r>
        <w:r>
          <w:rPr>
            <w:rStyle w:val="Hyperlink"/>
            <w:rFonts w:ascii="Arial" w:hAnsi="Arial" w:cs="Arial"/>
          </w:rPr>
          <w:t>Access to and correction of personal information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_Toc208993573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4" w:history="1">
        <w:r>
          <w:rPr>
            <w:rStyle w:val="Hyperlink"/>
            <w:rFonts w:ascii="Arial" w:hAnsi="Arial" w:cs="Arial"/>
          </w:rPr>
          <w:t xml:space="preserve">5.4 </w:t>
        </w:r>
        <w:r>
          <w:rPr>
            <w:rFonts w:ascii="Arial" w:eastAsiaTheme="minorEastAsia" w:hAnsi="Arial" w:cs="Arial"/>
            <w:kern w:val="2"/>
            <w:sz w:val="24"/>
            <w:szCs w:val="24"/>
            <w14:ligatures w14:val="standardContextual"/>
          </w:rPr>
          <w:tab/>
        </w:r>
        <w:r>
          <w:rPr>
            <w:rStyle w:val="Hyperlink"/>
            <w:rFonts w:ascii="Arial" w:hAnsi="Arial" w:cs="Arial"/>
          </w:rPr>
          <w:t>Data breach</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_Toc208993574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5" w:history="1">
        <w:r>
          <w:rPr>
            <w:rStyle w:val="Hyperlink"/>
            <w:rFonts w:ascii="Arial" w:hAnsi="Arial" w:cs="Arial"/>
          </w:rPr>
          <w:t>5.5</w:t>
        </w:r>
        <w:r>
          <w:rPr>
            <w:rFonts w:ascii="Arial" w:eastAsiaTheme="minorEastAsia" w:hAnsi="Arial" w:cs="Arial"/>
            <w:kern w:val="2"/>
            <w:sz w:val="24"/>
            <w:szCs w:val="24"/>
            <w14:ligatures w14:val="standardContextual"/>
          </w:rPr>
          <w:tab/>
        </w:r>
        <w:r>
          <w:rPr>
            <w:rStyle w:val="Hyperlink"/>
            <w:rFonts w:ascii="Arial" w:hAnsi="Arial" w:cs="Arial"/>
          </w:rPr>
          <w:t>Privacy Act Reforms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_Toc208993575 \h </w:instrText>
        </w:r>
        <w:r>
          <w:rPr>
            <w:rFonts w:ascii="Arial" w:hAnsi="Arial" w:cs="Arial"/>
            <w:webHidden/>
          </w:rPr>
        </w:r>
        <w:r>
          <w:rPr>
            <w:rFonts w:ascii="Arial" w:hAnsi="Arial" w:cs="Arial"/>
            <w:webHidden/>
          </w:rPr>
          <w:fldChar w:fldCharType="separate"/>
        </w:r>
        <w:r>
          <w:rPr>
            <w:rFonts w:ascii="Arial" w:hAnsi="Arial" w:cs="Arial"/>
            <w:webHidden/>
          </w:rPr>
          <w:t>5</w:t>
        </w:r>
        <w:r>
          <w:rPr>
            <w:rFonts w:ascii="Arial" w:hAnsi="Arial" w:cs="Arial"/>
            <w:webHidden/>
          </w:rPr>
          <w:fldChar w:fldCharType="end"/>
        </w:r>
      </w:hyperlink>
    </w:p>
    <w:p w14:paraId="089CD79C" w14:textId="345EBBF1" w:rsidR="009B0153">
      <w:pPr>
        <w:pStyle w:val="TOC3"/>
        <w:rPr>
          <w:rFonts w:ascii="Arial" w:eastAsiaTheme="minorEastAsia" w:hAnsi="Arial" w:cs="Arial"/>
          <w:kern w:val="2"/>
          <w:sz w:val="24"/>
          <w:szCs w:val="24"/>
          <w14:ligatures w14:val="standardContextual"/>
        </w:rPr>
      </w:pPr>
      <w:hyperlink w:anchor="_Toc208993576" w:history="1">
        <w:r>
          <w:rPr>
            <w:rStyle w:val="Hyperlink"/>
            <w:rFonts w:ascii="Arial" w:hAnsi="Arial" w:cs="Arial"/>
          </w:rPr>
          <w:t>5.6</w:t>
        </w:r>
        <w:r>
          <w:rPr>
            <w:rFonts w:ascii="Arial" w:eastAsiaTheme="minorEastAsia" w:hAnsi="Arial" w:cs="Arial"/>
            <w:kern w:val="2"/>
            <w:sz w:val="24"/>
            <w:szCs w:val="24"/>
            <w14:ligatures w14:val="standardContextual"/>
          </w:rPr>
          <w:tab/>
        </w:r>
        <w:r>
          <w:rPr>
            <w:rStyle w:val="Hyperlink"/>
            <w:rFonts w:ascii="Arial" w:hAnsi="Arial" w:cs="Arial"/>
          </w:rPr>
          <w:t>Enhanced Consent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_Toc208993576 \h </w:instrText>
        </w:r>
        <w:r>
          <w:rPr>
            <w:rFonts w:ascii="Arial" w:hAnsi="Arial" w:cs="Arial"/>
            <w:webHidden/>
          </w:rPr>
        </w:r>
        <w:r>
          <w:rPr>
            <w:rFonts w:ascii="Arial" w:hAnsi="Arial" w:cs="Arial"/>
            <w:webHidden/>
          </w:rPr>
          <w:fldChar w:fldCharType="separate"/>
        </w:r>
        <w:r>
          <w:rPr>
            <w:rFonts w:ascii="Arial" w:hAnsi="Arial" w:cs="Arial"/>
            <w:webHidden/>
          </w:rPr>
          <w:t>5</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7" w:history="1">
        <w:r>
          <w:rPr>
            <w:rStyle w:val="Hyperlink"/>
            <w:rFonts w:ascii="Arial" w:hAnsi="Arial" w:cs="Arial"/>
          </w:rPr>
          <w:t>5.7</w:t>
        </w:r>
        <w:r>
          <w:rPr>
            <w:rFonts w:ascii="Arial" w:eastAsiaTheme="minorEastAsia" w:hAnsi="Arial" w:cs="Arial"/>
            <w:kern w:val="2"/>
            <w:sz w:val="24"/>
            <w:szCs w:val="24"/>
            <w14:ligatures w14:val="standardContextual"/>
          </w:rPr>
          <w:tab/>
        </w:r>
        <w:r>
          <w:rPr>
            <w:rStyle w:val="Hyperlink"/>
            <w:rFonts w:ascii="Arial" w:hAnsi="Arial" w:cs="Arial"/>
          </w:rPr>
          <w:t>Right to be forgotten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_Toc208993577 \h </w:instrText>
        </w:r>
        <w:r>
          <w:rPr>
            <w:rFonts w:ascii="Arial" w:hAnsi="Arial" w:cs="Arial"/>
            <w:webHidden/>
          </w:rPr>
        </w:r>
        <w:r>
          <w:rPr>
            <w:rFonts w:ascii="Arial" w:hAnsi="Arial" w:cs="Arial"/>
            <w:webHidden/>
          </w:rPr>
          <w:fldChar w:fldCharType="separate"/>
        </w:r>
        <w:r>
          <w:rPr>
            <w:rFonts w:ascii="Arial" w:hAnsi="Arial" w:cs="Arial"/>
            <w:webHidden/>
          </w:rPr>
          <w:t>5</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8" w:history="1">
        <w:r>
          <w:rPr>
            <w:rStyle w:val="Hyperlink"/>
            <w:rFonts w:ascii="Arial" w:hAnsi="Arial" w:cs="Arial"/>
          </w:rPr>
          <w:t>5.8</w:t>
        </w:r>
        <w:r>
          <w:rPr>
            <w:rFonts w:ascii="Arial" w:eastAsiaTheme="minorEastAsia" w:hAnsi="Arial" w:cs="Arial"/>
            <w:kern w:val="2"/>
            <w:sz w:val="24"/>
            <w:szCs w:val="24"/>
            <w14:ligatures w14:val="standardContextual"/>
          </w:rPr>
          <w:tab/>
        </w:r>
        <w:r>
          <w:rPr>
            <w:rStyle w:val="Hyperlink"/>
            <w:rFonts w:ascii="Arial" w:hAnsi="Arial" w:cs="Arial"/>
          </w:rPr>
          <w:t>Transparency in Automated Decision Making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_Toc208993578 \h </w:instrText>
        </w:r>
        <w:r>
          <w:rPr>
            <w:rFonts w:ascii="Arial" w:hAnsi="Arial" w:cs="Arial"/>
            <w:webHidden/>
          </w:rPr>
        </w:r>
        <w:r>
          <w:rPr>
            <w:rFonts w:ascii="Arial" w:hAnsi="Arial" w:cs="Arial"/>
            <w:webHidden/>
          </w:rPr>
          <w:fldChar w:fldCharType="separate"/>
        </w:r>
        <w:r>
          <w:rPr>
            <w:rFonts w:ascii="Arial" w:hAnsi="Arial" w:cs="Arial"/>
            <w:webHidden/>
          </w:rPr>
          <w:t>5</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79" w:history="1">
        <w:r>
          <w:rPr>
            <w:rStyle w:val="Hyperlink"/>
            <w:rFonts w:ascii="Arial" w:hAnsi="Arial" w:cs="Arial"/>
          </w:rPr>
          <w:t>5.9</w:t>
        </w:r>
        <w:r>
          <w:rPr>
            <w:rFonts w:ascii="Arial" w:eastAsiaTheme="minorEastAsia" w:hAnsi="Arial" w:cs="Arial"/>
            <w:kern w:val="2"/>
            <w:sz w:val="24"/>
            <w:szCs w:val="24"/>
            <w14:ligatures w14:val="standardContextual"/>
          </w:rPr>
          <w:tab/>
        </w:r>
        <w:r>
          <w:rPr>
            <w:rStyle w:val="Hyperlink"/>
            <w:rFonts w:ascii="Arial" w:hAnsi="Arial" w:cs="Arial"/>
          </w:rPr>
          <w:t>Overseas Data Transfers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_Toc208993579 \h </w:instrText>
        </w:r>
        <w:r>
          <w:rPr>
            <w:rFonts w:ascii="Arial" w:hAnsi="Arial" w:cs="Arial"/>
            <w:webHidden/>
          </w:rPr>
        </w:r>
        <w:r>
          <w:rPr>
            <w:rFonts w:ascii="Arial" w:hAnsi="Arial" w:cs="Arial"/>
            <w:webHidden/>
          </w:rPr>
          <w:fldChar w:fldCharType="separate"/>
        </w:r>
        <w:r>
          <w:rPr>
            <w:rFonts w:ascii="Arial" w:hAnsi="Arial" w:cs="Arial"/>
            <w:webHidden/>
          </w:rPr>
          <w:t>5</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80" w:history="1">
        <w:r>
          <w:rPr>
            <w:rStyle w:val="Hyperlink"/>
            <w:rFonts w:ascii="Arial" w:hAnsi="Arial" w:cs="Arial"/>
          </w:rPr>
          <w:t>6.0</w:t>
        </w:r>
        <w:r>
          <w:rPr>
            <w:rFonts w:ascii="Arial" w:eastAsiaTheme="minorEastAsia" w:hAnsi="Arial" w:cs="Arial"/>
            <w:kern w:val="2"/>
            <w:sz w:val="24"/>
            <w:szCs w:val="24"/>
            <w14:ligatures w14:val="standardContextual"/>
          </w:rPr>
          <w:tab/>
        </w:r>
        <w:r>
          <w:rPr>
            <w:rStyle w:val="Hyperlink"/>
            <w:rFonts w:ascii="Arial" w:hAnsi="Arial" w:cs="Arial"/>
          </w:rPr>
          <w:t>Data Security Measures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_Toc208993580 \h </w:instrText>
        </w:r>
        <w:r>
          <w:rPr>
            <w:rFonts w:ascii="Arial" w:hAnsi="Arial" w:cs="Arial"/>
            <w:webHidden/>
          </w:rPr>
        </w:r>
        <w:r>
          <w:rPr>
            <w:rFonts w:ascii="Arial" w:hAnsi="Arial" w:cs="Arial"/>
            <w:webHidden/>
          </w:rPr>
          <w:fldChar w:fldCharType="separate"/>
        </w:r>
        <w:r>
          <w:rPr>
            <w:rFonts w:ascii="Arial" w:hAnsi="Arial" w:cs="Arial"/>
            <w:webHidden/>
          </w:rPr>
          <w:t>6</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81" w:history="1">
        <w:r>
          <w:rPr>
            <w:rStyle w:val="Hyperlink"/>
            <w:rFonts w:ascii="Arial" w:hAnsi="Arial" w:cs="Arial"/>
          </w:rPr>
          <w:t>6.1</w:t>
        </w:r>
        <w:r>
          <w:rPr>
            <w:rFonts w:ascii="Arial" w:eastAsiaTheme="minorEastAsia" w:hAnsi="Arial" w:cs="Arial"/>
            <w:kern w:val="2"/>
            <w:sz w:val="24"/>
            <w:szCs w:val="24"/>
            <w14:ligatures w14:val="standardContextual"/>
          </w:rPr>
          <w:tab/>
        </w:r>
        <w:r>
          <w:rPr>
            <w:rStyle w:val="Hyperlink"/>
            <w:rFonts w:ascii="Arial" w:hAnsi="Arial" w:cs="Arial"/>
          </w:rPr>
          <w:t>Notifiable Data Breaches (NDB) Scheme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_Toc208993581 \h </w:instrText>
        </w:r>
        <w:r>
          <w:rPr>
            <w:rFonts w:ascii="Arial" w:hAnsi="Arial" w:cs="Arial"/>
            <w:webHidden/>
          </w:rPr>
        </w:r>
        <w:r>
          <w:rPr>
            <w:rFonts w:ascii="Arial" w:hAnsi="Arial" w:cs="Arial"/>
            <w:webHidden/>
          </w:rPr>
          <w:fldChar w:fldCharType="separate"/>
        </w:r>
        <w:r>
          <w:rPr>
            <w:rFonts w:ascii="Arial" w:hAnsi="Arial" w:cs="Arial"/>
            <w:webHidden/>
          </w:rPr>
          <w:t>6</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82" w:history="1">
        <w:r>
          <w:rPr>
            <w:rStyle w:val="Hyperlink"/>
            <w:rFonts w:ascii="Arial" w:hAnsi="Arial" w:cs="Arial"/>
          </w:rPr>
          <w:t>6.2</w:t>
        </w:r>
        <w:r>
          <w:rPr>
            <w:rFonts w:ascii="Arial" w:eastAsiaTheme="minorEastAsia" w:hAnsi="Arial" w:cs="Arial"/>
            <w:kern w:val="2"/>
            <w:sz w:val="24"/>
            <w:szCs w:val="24"/>
            <w14:ligatures w14:val="standardContextual"/>
          </w:rPr>
          <w:tab/>
        </w:r>
        <w:r>
          <w:rPr>
            <w:rStyle w:val="Hyperlink"/>
            <w:rFonts w:ascii="Arial" w:hAnsi="Arial" w:cs="Arial"/>
          </w:rPr>
          <w:t>Individual Rights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_Toc208993582 \h </w:instrText>
        </w:r>
        <w:r>
          <w:rPr>
            <w:rFonts w:ascii="Arial" w:hAnsi="Arial" w:cs="Arial"/>
            <w:webHidden/>
          </w:rPr>
        </w:r>
        <w:r>
          <w:rPr>
            <w:rFonts w:ascii="Arial" w:hAnsi="Arial" w:cs="Arial"/>
            <w:webHidden/>
          </w:rPr>
          <w:fldChar w:fldCharType="separate"/>
        </w:r>
        <w:r>
          <w:rPr>
            <w:rFonts w:ascii="Arial" w:hAnsi="Arial" w:cs="Arial"/>
            <w:webHidden/>
          </w:rPr>
          <w:t>6</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83" w:history="1">
        <w:r>
          <w:rPr>
            <w:rStyle w:val="Hyperlink"/>
            <w:rFonts w:ascii="Arial" w:hAnsi="Arial" w:cs="Arial"/>
          </w:rPr>
          <w:t xml:space="preserve">6.3 </w:t>
        </w:r>
        <w:r>
          <w:rPr>
            <w:rFonts w:ascii="Arial" w:eastAsiaTheme="minorEastAsia" w:hAnsi="Arial" w:cs="Arial"/>
            <w:kern w:val="2"/>
            <w:sz w:val="24"/>
            <w:szCs w:val="24"/>
            <w14:ligatures w14:val="standardContextual"/>
          </w:rPr>
          <w:tab/>
        </w:r>
        <w:r>
          <w:rPr>
            <w:rStyle w:val="Hyperlink"/>
            <w:rFonts w:ascii="Arial" w:hAnsi="Arial" w:cs="Arial"/>
          </w:rPr>
          <w:t>Children's Online Privacy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_Toc208993583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3"/>
        <w:rPr>
          <w:rFonts w:ascii="Arial" w:eastAsiaTheme="minorEastAsia" w:hAnsi="Arial" w:cs="Arial"/>
          <w:kern w:val="2"/>
          <w:sz w:val="24"/>
          <w:szCs w:val="24"/>
          <w14:ligatures w14:val="standardContextual"/>
        </w:rPr>
      </w:pPr>
      <w:hyperlink w:anchor="_Toc208993584" w:history="1">
        <w:r>
          <w:rPr>
            <w:rStyle w:val="Hyperlink"/>
            <w:rFonts w:ascii="Arial" w:hAnsi="Arial" w:cs="Arial"/>
          </w:rPr>
          <w:t>6.4</w:t>
        </w:r>
        <w:r>
          <w:rPr>
            <w:rFonts w:ascii="Arial" w:eastAsiaTheme="minorEastAsia" w:hAnsi="Arial" w:cs="Arial"/>
            <w:kern w:val="2"/>
            <w:sz w:val="24"/>
            <w:szCs w:val="24"/>
            <w14:ligatures w14:val="standardContextual"/>
          </w:rPr>
          <w:tab/>
        </w:r>
        <w:r>
          <w:rPr>
            <w:rStyle w:val="Hyperlink"/>
            <w:rFonts w:ascii="Arial" w:hAnsi="Arial" w:cs="Arial"/>
          </w:rPr>
          <w:t>Doxxing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_Toc208993584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2"/>
        <w:rPr>
          <w:rFonts w:ascii="Arial" w:eastAsiaTheme="minorEastAsia" w:hAnsi="Arial" w:cs="Arial"/>
          <w:b w:val="0"/>
          <w:kern w:val="2"/>
          <w:sz w:val="24"/>
          <w:szCs w:val="24"/>
          <w14:ligatures w14:val="standardContextual"/>
        </w:rPr>
      </w:pPr>
      <w:hyperlink w:anchor="_Toc208993585" w:history="1">
        <w:r>
          <w:rPr>
            <w:rStyle w:val="Hyperlink"/>
            <w:rFonts w:ascii="Arial" w:hAnsi="Arial" w:cs="Arial"/>
          </w:rPr>
          <w:t>6.</w:t>
        </w:r>
        <w:r>
          <w:rPr>
            <w:rFonts w:ascii="Arial" w:eastAsiaTheme="minorEastAsia" w:hAnsi="Arial" w:cs="Arial"/>
            <w:b w:val="0"/>
            <w:kern w:val="2"/>
            <w:sz w:val="24"/>
            <w:szCs w:val="24"/>
            <w14:ligatures w14:val="standardContextual"/>
          </w:rPr>
          <w:tab/>
        </w:r>
        <w:r>
          <w:rPr>
            <w:rStyle w:val="Hyperlink"/>
            <w:rFonts w:ascii="Arial" w:hAnsi="Arial" w:cs="Arial"/>
          </w:rPr>
          <w:t>Contact us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_Toc208993585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rPr>
          <w:rFonts w:ascii="Arial" w:hAnsi="Arial" w:cs="Arial"/>
          <w:b/>
          <w:noProof/>
        </w:rPr>
      </w:pPr>
      <w:r>
        <w:rPr>
          <w:rFonts w:ascii="Arial" w:hAnsi="Arial" w:cs="Arial"/>
          <w:b/>
          <w:noProof/>
        </w:rPr>
        <w:fldChar w:fldCharType="end"/>
      </w: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b/>
          <w:noProof/>
        </w:rPr>
      </w:pPr>
    </w:p>
    <w:p>
      <w:pPr>
        <w:rPr>
          <w:rFonts w:ascii="Arial" w:hAnsi="Arial" w:cs="Arial"/>
          <w:i/>
          <w:noProof/>
          <w:sz w:val="20"/>
        </w:rPr>
      </w:pPr>
      <w:r>
        <w:rPr>
          <w:rFonts w:ascii="Arial" w:hAnsi="Arial" w:cs="Arial"/>
          <w:i/>
          <w:noProof/>
          <w:sz w:val="20"/>
        </w:rPr>
        <w:lastRenderedPageBreak/>
        <w:t xml:space="preserve">Intellectual Property and </w:t>
      </w:r>
      <w:r>
        <w:rPr>
          <w:rFonts w:ascii="Arial" w:hAnsi="Arial" w:cs="Arial"/>
          <w:i/>
          <w:noProof/>
          <w:sz w:val="20"/>
        </w:rPr>
        <w:t>D</w:t>
      </w:r>
      <w:r>
        <w:rPr>
          <w:rFonts w:ascii="Arial" w:hAnsi="Arial" w:cs="Arial"/>
          <w:i/>
          <w:noProof/>
          <w:sz w:val="20"/>
        </w:rPr>
        <w:t>isclaimer</w:t>
      </w:r>
    </w:p>
    <w:p>
      <w:pPr>
        <w:rPr>
          <w:rFonts w:ascii="Arial" w:hAnsi="Arial" w:cs="Arial"/>
          <w:sz w:val="18"/>
        </w:rPr>
      </w:pPr>
      <w:r>
        <w:rPr>
          <w:rFonts w:ascii="Arial" w:hAnsi="Arial" w:cs="Arial"/>
          <w:sz w:val="18"/>
        </w:rPr>
        <w:t>All present and future rights to intellectual property in this document shall remain with Integrity Compliance Pty Ltd (</w:t>
      </w:r>
      <w:r>
        <w:rPr>
          <w:rFonts w:ascii="Arial" w:hAnsi="Arial" w:cs="Arial"/>
          <w:b/>
          <w:sz w:val="18"/>
        </w:rPr>
        <w:t>Integrity Compliance</w:t>
      </w:r>
      <w:r>
        <w:rPr>
          <w:rFonts w:ascii="Arial" w:hAnsi="Arial" w:cs="Arial"/>
          <w:sz w:val="18"/>
        </w:rPr>
        <w:t>). While Integrity Compliance endeavours to ensure the accuracy of this document, it does not accept any responsibility for the accuracy, completeness or currency of the material included in this publication and will not be liable for any loss or damage arising out of any use of, or reliance on, this document.</w:t>
      </w:r>
    </w:p>
    <w:p>
      <w:pPr>
        <w:rPr>
          <w:rFonts w:ascii="Arial" w:hAnsi="Arial" w:cs="Arial"/>
          <w:sz w:val="20"/>
        </w:rPr>
      </w:pPr>
    </w:p>
    <w:tbl>
      <w:tblPr>
        <w:tblStyle w:val="TableGrid"/>
        <w:tblW w:w="9021" w:type="dxa"/>
        <w:tblLook w:val="04A0" w:firstRow="1" w:lastRow="0" w:firstColumn="1" w:lastColumn="0" w:noHBand="0" w:noVBand="1"/>
      </w:tblPr>
      <w:tblGrid>
        <w:gridCol w:w="1276"/>
        <w:gridCol w:w="2977"/>
        <w:gridCol w:w="4768"/>
      </w:tblGrid>
      <w:tr w14:paraId="2286E201" w14:textId="77777777">
        <w:tc>
          <w:tcPr>
            <w:tcW w:w="1276" w:type="dxa"/>
            <w:tcBorders>
              <w:top w:val="single" w:sz="4" w:space="0" w:color="auto"/>
              <w:left w:val="single" w:sz="4" w:space="0" w:color="auto"/>
              <w:bottom w:val="single" w:sz="4" w:space="0" w:color="auto"/>
              <w:right w:val="single" w:sz="4" w:space="0" w:color="auto"/>
            </w:tcBorders>
            <w:shd w:val="clear" w:color="auto" w:fill="7395B3"/>
            <w:hideMark/>
          </w:tcPr>
          <w:p>
            <w:pPr>
              <w:rPr>
                <w:rFonts w:ascii="Arial" w:hAnsi="Arial" w:cs="Arial"/>
                <w:b/>
                <w:color w:val="F2F2F2" w:themeColor="accent3" w:themeShade="F2"/>
              </w:rPr>
            </w:pPr>
            <w:r>
              <w:rPr>
                <w:rFonts w:ascii="Arial" w:hAnsi="Arial" w:cs="Arial"/>
                <w:b/>
                <w:color w:val="F2F2F2" w:themeColor="accent3" w:themeShade="F2"/>
              </w:rPr>
              <w:br w:type="page"/>
              <w:t>Version</w:t>
            </w:r>
          </w:p>
        </w:tc>
        <w:tc>
          <w:tcPr>
            <w:tcW w:w="2977" w:type="dxa"/>
            <w:tcBorders>
              <w:top w:val="single" w:sz="4" w:space="0" w:color="auto"/>
              <w:left w:val="single" w:sz="4" w:space="0" w:color="auto"/>
              <w:bottom w:val="single" w:sz="4" w:space="0" w:color="auto"/>
              <w:right w:val="single" w:sz="4" w:space="0" w:color="auto"/>
            </w:tcBorders>
            <w:shd w:val="clear" w:color="auto" w:fill="7395B3"/>
            <w:hideMark/>
          </w:tcPr>
          <w:p>
            <w:pPr>
              <w:rPr>
                <w:rFonts w:ascii="Arial" w:hAnsi="Arial" w:cs="Arial"/>
                <w:b/>
                <w:color w:val="F2F2F2" w:themeColor="accent3" w:themeShade="F2"/>
              </w:rPr>
            </w:pPr>
            <w:r>
              <w:rPr>
                <w:rFonts w:ascii="Arial" w:hAnsi="Arial" w:cs="Arial"/>
                <w:b/>
                <w:color w:val="F2F2F2" w:themeColor="accent3" w:themeShade="F2"/>
              </w:rPr>
              <w:t>Date</w:t>
            </w:r>
          </w:p>
        </w:tc>
        <w:tc>
          <w:tcPr>
            <w:tcW w:w="4768" w:type="dxa"/>
            <w:tcBorders>
              <w:top w:val="single" w:sz="4" w:space="0" w:color="auto"/>
              <w:left w:val="single" w:sz="4" w:space="0" w:color="auto"/>
              <w:bottom w:val="single" w:sz="4" w:space="0" w:color="auto"/>
              <w:right w:val="single" w:sz="4" w:space="0" w:color="auto"/>
            </w:tcBorders>
            <w:shd w:val="clear" w:color="auto" w:fill="7395B3"/>
            <w:hideMark/>
          </w:tcPr>
          <w:p>
            <w:pPr>
              <w:rPr>
                <w:rFonts w:ascii="Arial" w:hAnsi="Arial" w:cs="Arial"/>
                <w:b/>
                <w:color w:val="F2F2F2" w:themeColor="accent3" w:themeShade="F2"/>
              </w:rPr>
            </w:pPr>
            <w:r>
              <w:rPr>
                <w:rFonts w:ascii="Arial" w:hAnsi="Arial" w:cs="Arial"/>
                <w:b/>
                <w:color w:val="F2F2F2" w:themeColor="accent3" w:themeShade="F2"/>
              </w:rPr>
              <w:t>Amendment</w:t>
            </w:r>
          </w:p>
        </w:tc>
      </w:tr>
      <w:tr w14:paraId="7D3E59B5" w14:textId="77777777">
        <w:tc>
          <w:tcPr>
            <w:tcW w:w="1276" w:type="dxa"/>
            <w:tcBorders>
              <w:top w:val="single" w:sz="4" w:space="0" w:color="auto"/>
              <w:left w:val="single" w:sz="4" w:space="0" w:color="auto"/>
              <w:bottom w:val="single" w:sz="4" w:space="0" w:color="auto"/>
              <w:right w:val="single" w:sz="4" w:space="0" w:color="auto"/>
            </w:tcBorders>
            <w:hideMark/>
          </w:tcPr>
          <w:p>
            <w:pPr>
              <w:rPr>
                <w:rFonts w:ascii="Arial" w:hAnsi="Arial" w:cs="Arial"/>
              </w:rPr>
            </w:pPr>
            <w:r>
              <w:rPr>
                <w:rFonts w:ascii="Arial" w:hAnsi="Arial" w:cs="Arial"/>
              </w:rPr>
              <w:t>1.1</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April 2017</w:t>
            </w:r>
          </w:p>
        </w:tc>
        <w:tc>
          <w:tcPr>
            <w:tcW w:w="4768" w:type="dxa"/>
            <w:tcBorders>
              <w:top w:val="single" w:sz="4" w:space="0" w:color="auto"/>
              <w:left w:val="single" w:sz="4" w:space="0" w:color="auto"/>
              <w:bottom w:val="single" w:sz="4" w:space="0" w:color="auto"/>
              <w:right w:val="single" w:sz="4" w:space="0" w:color="auto"/>
            </w:tcBorders>
            <w:hideMark/>
          </w:tcPr>
          <w:p>
            <w:pPr>
              <w:rPr>
                <w:rFonts w:ascii="Arial" w:hAnsi="Arial" w:cs="Arial"/>
                <w:bCs/>
              </w:rPr>
            </w:pPr>
            <w:r w:rsidRPr="004D5CD3">
              <w:rPr>
                <w:rFonts w:ascii="Arial" w:hAnsi="Arial" w:cs="Arial"/>
                <w:bCs/>
              </w:rPr>
              <w:t>New Policy</w:t>
            </w:r>
          </w:p>
        </w:tc>
      </w:tr>
      <w:tr w14:paraId="371361F4"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1.2</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February 2018</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Expanded paragraph 1 – Overview - Why we collect your data and who we may share this information with</w:t>
            </w:r>
          </w:p>
          <w:p>
            <w:pPr>
              <w:pStyle w:val="ListParagraph"/>
              <w:numPr>
                <w:ilvl w:val="0"/>
                <w:numId w:val="1"/>
              </w:numPr>
              <w:rPr>
                <w:rFonts w:ascii="Arial" w:hAnsi="Arial" w:cs="Arial"/>
              </w:rPr>
            </w:pPr>
            <w:r>
              <w:rPr>
                <w:rFonts w:ascii="Arial" w:hAnsi="Arial" w:cs="Arial"/>
              </w:rPr>
              <w:t xml:space="preserve">Included paragraph 5.4 – New Data Breach Requirements </w:t>
            </w:r>
          </w:p>
          <w:p>
            <w:pPr>
              <w:pStyle w:val="ListParagraph"/>
              <w:numPr>
                <w:ilvl w:val="0"/>
                <w:numId w:val="1"/>
              </w:numPr>
              <w:rPr>
                <w:rFonts w:ascii="Arial" w:hAnsi="Arial" w:cs="Arial"/>
              </w:rPr>
            </w:pPr>
            <w:r>
              <w:rPr>
                <w:rFonts w:ascii="Arial" w:hAnsi="Arial" w:cs="Arial"/>
              </w:rPr>
              <w:t>Included more information around sensitive information in paragraph 3.1</w:t>
            </w:r>
          </w:p>
          <w:p>
            <w:pPr>
              <w:pStyle w:val="ListParagraph"/>
              <w:numPr>
                <w:ilvl w:val="0"/>
                <w:numId w:val="1"/>
              </w:numPr>
              <w:rPr>
                <w:rFonts w:ascii="Arial" w:hAnsi="Arial" w:cs="Arial"/>
              </w:rPr>
            </w:pPr>
            <w:r>
              <w:rPr>
                <w:rFonts w:ascii="Arial" w:hAnsi="Arial" w:cs="Arial"/>
              </w:rPr>
              <w:t>Made a change to paragraph 3 – re non-solicited information – we have deleted some wording to improve clarity.</w:t>
            </w:r>
          </w:p>
        </w:tc>
      </w:tr>
      <w:tr w14:paraId="32BBDD9D"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1.3</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October 2020</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Policy reformatted onto updated template</w:t>
            </w:r>
          </w:p>
        </w:tc>
      </w:tr>
      <w:tr w14:paraId="15A69B77"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 xml:space="preserve">1.4 </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June 2021</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5.2 edited to include reference to data being stored on servers hosted in Japan.</w:t>
            </w:r>
          </w:p>
        </w:tc>
      </w:tr>
      <w:tr w14:paraId="7ED1B1B1"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1.5</w:t>
            </w:r>
          </w:p>
        </w:tc>
        <w:tc>
          <w:tcPr>
            <w:tcW w:w="2977" w:type="dxa"/>
            <w:tcBorders>
              <w:top w:val="single" w:sz="4" w:space="0" w:color="auto"/>
              <w:left w:val="single" w:sz="4" w:space="0" w:color="auto"/>
              <w:bottom w:val="single" w:sz="4" w:space="0" w:color="auto"/>
              <w:right w:val="single" w:sz="4" w:space="0" w:color="auto"/>
            </w:tcBorders>
          </w:tcPr>
          <w:p w14:paraId="25C1A8FE" w14:textId="77777777" w:rsidRPr="00E528FA">
            <w:pPr>
              <w:rPr>
                <w:rFonts w:ascii="Arial" w:hAnsi="Arial" w:cs="Arial"/>
              </w:rPr>
            </w:pPr>
            <w:r>
              <w:rPr>
                <w:rFonts w:ascii="Arial" w:hAnsi="Arial" w:cs="Arial"/>
              </w:rPr>
              <w:t>September 2021</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 xml:space="preserve">5.2 edited to </w:t>
            </w:r>
            <w:r>
              <w:rPr>
                <w:rFonts w:ascii="Arial" w:hAnsi="Arial" w:cs="Arial"/>
              </w:rPr>
              <w:t>remove</w:t>
            </w:r>
            <w:r>
              <w:rPr>
                <w:rFonts w:ascii="Arial" w:hAnsi="Arial" w:cs="Arial"/>
              </w:rPr>
              <w:t xml:space="preserve"> reference to data being stored on servers hosted in Japan</w:t>
            </w:r>
            <w:r>
              <w:rPr>
                <w:rFonts w:ascii="Arial" w:hAnsi="Arial" w:cs="Arial"/>
              </w:rPr>
              <w:t xml:space="preserve"> because data now stored on Australian Servers as of October 2021</w:t>
            </w:r>
          </w:p>
        </w:tc>
      </w:tr>
      <w:tr w14:paraId="2FBE3913"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1.6</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August 2022</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5.2 edited to have regard to Salesforce Development and Administration providers being physically located in the Philippines and United Arab Emirates as of August 2022.</w:t>
            </w:r>
          </w:p>
        </w:tc>
      </w:tr>
      <w:tr w14:paraId="50D43C48"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1.7</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August 2023</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5.2 edited to have regard to Salesforce Development and Administration providers being physically located in the Philippines and India as of August 2023.</w:t>
            </w:r>
          </w:p>
        </w:tc>
      </w:tr>
      <w:tr w14:paraId="7F642C7A"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1.8</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October 2023</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6 edited to include additional contact information including</w:t>
            </w:r>
            <w:r>
              <w:rPr>
                <w:rFonts w:ascii="Arial" w:hAnsi="Arial" w:cs="Arial"/>
              </w:rPr>
              <w:t xml:space="preserve"> </w:t>
            </w:r>
            <w:r>
              <w:rPr>
                <w:rFonts w:ascii="Arial" w:hAnsi="Arial" w:cs="Arial"/>
              </w:rPr>
              <w:t>address</w:t>
            </w:r>
            <w:r>
              <w:rPr>
                <w:rFonts w:ascii="Arial" w:hAnsi="Arial" w:cs="Arial"/>
              </w:rPr>
              <w:t>.</w:t>
            </w:r>
          </w:p>
        </w:tc>
      </w:tr>
      <w:tr w14:paraId="37280F51" w14:textId="77777777">
        <w:tc>
          <w:tcPr>
            <w:tcW w:w="1276"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1.9</w:t>
            </w:r>
          </w:p>
        </w:tc>
        <w:tc>
          <w:tcPr>
            <w:tcW w:w="2977"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rPr>
              <w:t>July 2025</w:t>
            </w:r>
          </w:p>
        </w:tc>
        <w:tc>
          <w:tcPr>
            <w:tcW w:w="4768" w:type="dxa"/>
            <w:tcBorders>
              <w:top w:val="single" w:sz="4" w:space="0" w:color="auto"/>
              <w:left w:val="single" w:sz="4" w:space="0" w:color="auto"/>
              <w:bottom w:val="single" w:sz="4" w:space="0" w:color="auto"/>
              <w:right w:val="single" w:sz="4" w:space="0" w:color="auto"/>
            </w:tcBorders>
          </w:tcPr>
          <w:p>
            <w:pPr>
              <w:pStyle w:val="ListParagraph"/>
              <w:numPr>
                <w:ilvl w:val="0"/>
                <w:numId w:val="1"/>
              </w:numPr>
              <w:rPr>
                <w:rFonts w:ascii="Arial" w:hAnsi="Arial" w:cs="Arial"/>
              </w:rPr>
            </w:pPr>
            <w:r>
              <w:rPr>
                <w:rFonts w:ascii="Arial" w:hAnsi="Arial" w:cs="Arial"/>
              </w:rPr>
              <w:t>Added the</w:t>
            </w:r>
            <w:r>
              <w:rPr>
                <w:rFonts w:ascii="Arial" w:hAnsi="Arial" w:cs="Arial"/>
              </w:rPr>
              <w:t xml:space="preserve"> Privacy Act Reform changes </w:t>
            </w:r>
            <w:r>
              <w:rPr>
                <w:rFonts w:ascii="Arial" w:hAnsi="Arial" w:cs="Arial"/>
              </w:rPr>
              <w:t>and removed references to India</w:t>
            </w:r>
          </w:p>
        </w:tc>
      </w:tr>
    </w:tbl>
    <w:p>
      <w:pPr>
        <w:rPr>
          <w:rFonts w:ascii="Arial" w:hAnsi="Arial" w:cs="Arial"/>
          <w:lang w:val="en-GB"/>
        </w:rPr>
      </w:pPr>
    </w:p>
    <w:p>
      <w:pPr>
        <w:spacing w:after="0"/>
        <w:rPr>
          <w:rFonts w:ascii="Arial" w:hAnsi="Arial" w:cs="Arial"/>
          <w:b/>
          <w:bCs/>
          <w:lang w:val="en-GB"/>
        </w:rPr>
      </w:pPr>
      <w:r>
        <w:rPr>
          <w:rFonts w:ascii="Arial" w:hAnsi="Arial" w:cs="Arial"/>
          <w:b/>
          <w:bCs/>
          <w:lang w:val="en-GB"/>
        </w:rPr>
        <w:t>Policy Owner</w:t>
      </w:r>
    </w:p>
    <w:p>
      <w:pPr>
        <w:spacing w:after="0"/>
        <w:rPr>
          <w:rFonts w:ascii="Arial" w:hAnsi="Arial" w:cs="Arial"/>
          <w:lang w:val="en-GB"/>
        </w:rPr>
      </w:pPr>
      <w:r>
        <w:rPr>
          <w:rFonts w:ascii="Arial" w:hAnsi="Arial" w:cs="Arial"/>
          <w:lang w:val="en-GB"/>
        </w:rPr>
        <w:t>Daniel Hogan</w:t>
      </w:r>
    </w:p>
    <w:p>
      <w:pPr>
        <w:rPr>
          <w:rFonts w:ascii="Arial" w:hAnsi="Arial" w:cs="Arial"/>
          <w:lang w:val="en-GB"/>
        </w:rPr>
      </w:pPr>
    </w:p>
    <w:p>
      <w:pPr>
        <w:rPr>
          <w:rFonts w:ascii="Arial" w:hAnsi="Arial" w:cs="Arial"/>
          <w:lang w:val="en-GB"/>
        </w:rPr>
        <w:sectPr>
          <w:footerReference w:type="default" r:id="rId10"/>
          <w:pgSz w:w="11906" w:h="16838"/>
          <w:pgMar w:top="1440" w:right="1440" w:bottom="1440" w:left="1440" w:header="708" w:footer="708" w:gutter="0"/>
          <w:pgNumType w:fmt="lowerRoman" w:start="1"/>
          <w:cols w:space="708"/>
          <w:titlePg/>
          <w:docGrid w:linePitch="360"/>
        </w:sectPr>
      </w:pPr>
    </w:p>
    <w:p>
      <w:pPr>
        <w:pStyle w:val="Heading2"/>
        <w:rPr>
          <w:b/>
        </w:rPr>
      </w:pPr>
      <w:bookmarkStart w:id="0" w:name="_Toc208993559"/>
      <w:bookmarkStart w:id="1" w:name="_Toc273965431"/>
      <w:r>
        <w:lastRenderedPageBreak/>
        <w:t>Overview</w:t>
      </w:r>
      <w:bookmarkEnd w:id="0"/>
    </w:p>
    <w:p>
      <w:pPr>
        <w:spacing w:line="240" w:lineRule="auto"/>
        <w:ind w:left="851"/>
        <w:rPr>
          <w:rFonts w:ascii="Arial" w:hAnsi="Arial" w:cs="Arial"/>
        </w:rPr>
      </w:pPr>
      <w:r>
        <w:rPr>
          <w:rFonts w:ascii="Arial" w:hAnsi="Arial" w:cs="Arial"/>
        </w:rPr>
        <w:t xml:space="preserve">Endure Wealth Pty Ltd </w:t>
      </w:r>
      <w:r>
        <w:rPr>
          <w:rFonts w:ascii="Arial" w:hAnsi="Arial" w:cs="Arial"/>
        </w:rPr>
        <w:t>(</w:t>
      </w:r>
      <w:r>
        <w:rPr>
          <w:rFonts w:ascii="Arial" w:hAnsi="Arial" w:cs="Arial"/>
          <w:b/>
          <w:bCs/>
        </w:rPr>
        <w:t>Licensee</w:t>
      </w:r>
      <w:r>
        <w:rPr>
          <w:rFonts w:ascii="Arial" w:hAnsi="Arial" w:cs="Arial"/>
        </w:rPr>
        <w:t>)</w:t>
      </w:r>
      <w:r>
        <w:rPr>
          <w:rFonts w:ascii="Arial" w:hAnsi="Arial" w:cs="Arial"/>
        </w:rPr>
        <w:t xml:space="preserve"> adheres to the Australian Privacy Principles (</w:t>
      </w:r>
      <w:r>
        <w:rPr>
          <w:rFonts w:ascii="Arial" w:hAnsi="Arial" w:cs="Arial"/>
          <w:b/>
          <w:bCs/>
        </w:rPr>
        <w:t>APPs</w:t>
      </w:r>
      <w:r>
        <w:rPr>
          <w:rFonts w:ascii="Arial" w:hAnsi="Arial" w:cs="Arial"/>
        </w:rPr>
        <w:t xml:space="preserve">) and is committed to protecting your privacy. The purpose of this Privacy Policy is to outline how we collect, use, disclose and retain personal and sensitive information. It also sets out how you can make a complaint and how you can access the personal information we hold about you. </w:t>
      </w:r>
    </w:p>
    <w:p>
      <w:pPr>
        <w:spacing w:line="240" w:lineRule="auto"/>
        <w:ind w:left="851"/>
        <w:rPr>
          <w:rFonts w:ascii="Arial" w:hAnsi="Arial" w:cs="Arial"/>
          <w:color w:val="06162F" w:themeColor="background1"/>
        </w:rPr>
      </w:pPr>
      <w:r>
        <w:rPr>
          <w:rFonts w:ascii="Arial" w:hAnsi="Arial" w:cs="Arial"/>
          <w:color w:val="06162F" w:themeColor="background1"/>
        </w:rPr>
        <w:t xml:space="preserve">Our business is to help you understand and achieve your financial goals. </w:t>
      </w:r>
    </w:p>
    <w:p>
      <w:pPr>
        <w:spacing w:line="240" w:lineRule="auto"/>
        <w:ind w:left="851"/>
        <w:rPr>
          <w:rFonts w:ascii="Arial" w:hAnsi="Arial" w:cs="Arial"/>
          <w:color w:val="06162F" w:themeColor="background1"/>
        </w:rPr>
      </w:pPr>
      <w:r>
        <w:rPr>
          <w:rFonts w:ascii="Arial" w:hAnsi="Arial" w:cs="Arial"/>
          <w:color w:val="06162F" w:themeColor="background1"/>
        </w:rPr>
        <w:t xml:space="preserve">To do this, we need to understand who you are, what you want to achieve and what your circumstances are. We therefore need to collect personal information about you. This is so we can determine what services you require and what products suit your needs. We collect, use, retain and disclose your personal information so we can help you achieve your goals and at the same time operate our business and meet the legal and regulatory requirements. </w:t>
      </w:r>
    </w:p>
    <w:p>
      <w:pPr>
        <w:spacing w:line="240" w:lineRule="auto"/>
        <w:ind w:left="851"/>
        <w:rPr>
          <w:rFonts w:ascii="Arial" w:hAnsi="Arial" w:cs="Arial"/>
          <w:color w:val="06162F" w:themeColor="background1"/>
        </w:rPr>
      </w:pPr>
      <w:r>
        <w:rPr>
          <w:rFonts w:ascii="Arial" w:hAnsi="Arial" w:cs="Arial"/>
          <w:color w:val="06162F" w:themeColor="background1"/>
        </w:rPr>
        <w:t>We may also use and disclose your information for purposes related to those mentioned above, such as:</w:t>
      </w:r>
    </w:p>
    <w:p>
      <w:pPr>
        <w:pStyle w:val="ListParagraph"/>
        <w:numPr>
          <w:ilvl w:val="0"/>
          <w:numId w:val="8"/>
        </w:numPr>
        <w:spacing w:line="360" w:lineRule="auto"/>
        <w:ind w:left="1418" w:hanging="567"/>
        <w:rPr>
          <w:rFonts w:ascii="Arial" w:hAnsi="Arial" w:cs="Arial"/>
          <w:color w:val="06162F" w:themeColor="background1"/>
        </w:rPr>
      </w:pPr>
      <w:r>
        <w:rPr>
          <w:rFonts w:ascii="Arial" w:hAnsi="Arial" w:cs="Arial"/>
          <w:color w:val="06162F" w:themeColor="background1"/>
        </w:rPr>
        <w:t>assisting with your questions and complaints;</w:t>
      </w:r>
    </w:p>
    <w:p>
      <w:pPr>
        <w:pStyle w:val="ListParagraph"/>
        <w:numPr>
          <w:ilvl w:val="0"/>
          <w:numId w:val="8"/>
        </w:numPr>
        <w:spacing w:line="360" w:lineRule="auto"/>
        <w:ind w:left="1418" w:hanging="567"/>
        <w:rPr>
          <w:rFonts w:ascii="Arial" w:hAnsi="Arial" w:cs="Arial"/>
          <w:color w:val="06162F" w:themeColor="background1"/>
        </w:rPr>
      </w:pPr>
      <w:r>
        <w:rPr>
          <w:rFonts w:ascii="Arial" w:hAnsi="Arial" w:cs="Arial"/>
          <w:color w:val="06162F" w:themeColor="background1"/>
        </w:rPr>
        <w:t>arranging for services to be provided by third parties; and</w:t>
      </w:r>
    </w:p>
    <w:p>
      <w:pPr>
        <w:pStyle w:val="ListParagraph"/>
        <w:numPr>
          <w:ilvl w:val="0"/>
          <w:numId w:val="8"/>
        </w:numPr>
        <w:spacing w:line="360" w:lineRule="auto"/>
        <w:ind w:left="1418" w:hanging="567"/>
        <w:rPr>
          <w:rFonts w:ascii="Arial" w:hAnsi="Arial" w:cs="Arial"/>
          <w:color w:val="06162F" w:themeColor="background1"/>
        </w:rPr>
      </w:pPr>
      <w:r>
        <w:rPr>
          <w:rFonts w:ascii="Arial" w:hAnsi="Arial" w:cs="Arial"/>
          <w:color w:val="06162F" w:themeColor="background1"/>
        </w:rPr>
        <w:t>record keeping, compliance training and auditing.</w:t>
      </w:r>
    </w:p>
    <w:p>
      <w:pPr>
        <w:ind w:left="851"/>
        <w:rPr>
          <w:rFonts w:ascii="Arial" w:hAnsi="Arial" w:cs="Arial"/>
          <w:color w:val="06162F" w:themeColor="background1"/>
        </w:rPr>
      </w:pPr>
      <w:r>
        <w:rPr>
          <w:rFonts w:ascii="Arial" w:hAnsi="Arial" w:cs="Arial"/>
          <w:color w:val="06162F" w:themeColor="background1"/>
        </w:rPr>
        <w:br/>
        <w:t>This privacy policy is reviewed annually (unless an update is required earlier).</w:t>
      </w:r>
      <w:bookmarkEnd w:id="1"/>
    </w:p>
    <w:p>
      <w:pPr>
        <w:pStyle w:val="Heading2"/>
        <w:rPr>
          <w:b/>
        </w:rPr>
      </w:pPr>
      <w:bookmarkStart w:id="2" w:name="_Toc208993560"/>
      <w:r>
        <w:t>What is personal information?</w:t>
      </w:r>
      <w:bookmarkEnd w:id="2"/>
    </w:p>
    <w:p>
      <w:pPr>
        <w:spacing w:line="240" w:lineRule="auto"/>
        <w:ind w:left="851"/>
        <w:rPr>
          <w:rFonts w:ascii="Arial" w:hAnsi="Arial" w:cs="Arial"/>
        </w:rPr>
      </w:pPr>
      <w:r>
        <w:rPr>
          <w:rFonts w:ascii="Arial" w:hAnsi="Arial" w:cs="Arial"/>
        </w:rPr>
        <w:t>Personal information means information or an opinion about an identified individual, or an individual who is reasonably identifiable: (a) whether the information or opinion is true or not; and (b) whether the information or opinion is recorded in a material form or not.  For the purposes of this policy, personal information may include:</w:t>
      </w:r>
    </w:p>
    <w:p>
      <w:pPr>
        <w:pStyle w:val="ListParagraph"/>
        <w:numPr>
          <w:ilvl w:val="0"/>
          <w:numId w:val="3"/>
        </w:numPr>
        <w:spacing w:line="360" w:lineRule="auto"/>
        <w:ind w:left="1418" w:hanging="567"/>
        <w:rPr>
          <w:rFonts w:ascii="Arial" w:hAnsi="Arial" w:cs="Arial"/>
        </w:rPr>
      </w:pPr>
      <w:r>
        <w:rPr>
          <w:rFonts w:ascii="Arial" w:hAnsi="Arial" w:cs="Arial"/>
        </w:rPr>
        <w:t>N</w:t>
      </w:r>
      <w:r>
        <w:rPr>
          <w:rFonts w:ascii="Arial" w:hAnsi="Arial" w:cs="Arial"/>
        </w:rPr>
        <w:t>ame;</w:t>
      </w:r>
    </w:p>
    <w:p>
      <w:pPr>
        <w:pStyle w:val="ListParagraph"/>
        <w:numPr>
          <w:ilvl w:val="0"/>
          <w:numId w:val="3"/>
        </w:numPr>
        <w:spacing w:line="360" w:lineRule="auto"/>
        <w:ind w:left="1418" w:hanging="567"/>
        <w:rPr>
          <w:rFonts w:ascii="Arial" w:hAnsi="Arial" w:cs="Arial"/>
        </w:rPr>
      </w:pPr>
      <w:r>
        <w:rPr>
          <w:rFonts w:ascii="Arial" w:hAnsi="Arial" w:cs="Arial"/>
        </w:rPr>
        <w:t>A</w:t>
      </w:r>
      <w:r>
        <w:rPr>
          <w:rFonts w:ascii="Arial" w:hAnsi="Arial" w:cs="Arial"/>
        </w:rPr>
        <w:t>ddress;</w:t>
      </w:r>
    </w:p>
    <w:p>
      <w:pPr>
        <w:pStyle w:val="ListParagraph"/>
        <w:numPr>
          <w:ilvl w:val="0"/>
          <w:numId w:val="3"/>
        </w:numPr>
        <w:spacing w:line="360" w:lineRule="auto"/>
        <w:ind w:left="1418" w:hanging="567"/>
        <w:rPr>
          <w:rFonts w:ascii="Arial" w:hAnsi="Arial" w:cs="Arial"/>
        </w:rPr>
      </w:pPr>
      <w:r>
        <w:rPr>
          <w:rFonts w:ascii="Arial" w:hAnsi="Arial" w:cs="Arial"/>
        </w:rPr>
        <w:t>N</w:t>
      </w:r>
      <w:r>
        <w:rPr>
          <w:rFonts w:ascii="Arial" w:hAnsi="Arial" w:cs="Arial"/>
        </w:rPr>
        <w:t>ationality;</w:t>
      </w:r>
    </w:p>
    <w:p>
      <w:pPr>
        <w:pStyle w:val="ListParagraph"/>
        <w:numPr>
          <w:ilvl w:val="0"/>
          <w:numId w:val="3"/>
        </w:numPr>
        <w:spacing w:line="360" w:lineRule="auto"/>
        <w:ind w:left="1418" w:hanging="567"/>
        <w:rPr>
          <w:rFonts w:ascii="Arial" w:hAnsi="Arial" w:cs="Arial"/>
        </w:rPr>
      </w:pPr>
      <w:r>
        <w:rPr>
          <w:rFonts w:ascii="Arial" w:hAnsi="Arial" w:cs="Arial"/>
        </w:rPr>
        <w:t>R</w:t>
      </w:r>
      <w:r>
        <w:rPr>
          <w:rFonts w:ascii="Arial" w:hAnsi="Arial" w:cs="Arial"/>
        </w:rPr>
        <w:t>esidency status;</w:t>
      </w:r>
    </w:p>
    <w:p>
      <w:pPr>
        <w:pStyle w:val="ListParagraph"/>
        <w:numPr>
          <w:ilvl w:val="0"/>
          <w:numId w:val="3"/>
        </w:numPr>
        <w:spacing w:line="360" w:lineRule="auto"/>
        <w:ind w:left="1418" w:hanging="567"/>
        <w:rPr>
          <w:rFonts w:ascii="Arial" w:hAnsi="Arial" w:cs="Arial"/>
        </w:rPr>
      </w:pPr>
      <w:r>
        <w:rPr>
          <w:rFonts w:ascii="Arial" w:hAnsi="Arial" w:cs="Arial"/>
        </w:rPr>
        <w:t>E</w:t>
      </w:r>
      <w:r>
        <w:rPr>
          <w:rFonts w:ascii="Arial" w:hAnsi="Arial" w:cs="Arial"/>
        </w:rPr>
        <w:t>-mail address;</w:t>
      </w:r>
    </w:p>
    <w:p>
      <w:pPr>
        <w:pStyle w:val="ListParagraph"/>
        <w:numPr>
          <w:ilvl w:val="0"/>
          <w:numId w:val="3"/>
        </w:numPr>
        <w:spacing w:line="360" w:lineRule="auto"/>
        <w:ind w:left="1418" w:hanging="567"/>
        <w:rPr>
          <w:rFonts w:ascii="Arial" w:hAnsi="Arial" w:cs="Arial"/>
        </w:rPr>
      </w:pPr>
      <w:r>
        <w:rPr>
          <w:rFonts w:ascii="Arial" w:hAnsi="Arial" w:cs="Arial"/>
        </w:rPr>
        <w:t>Tax File Number; and</w:t>
      </w:r>
    </w:p>
    <w:p>
      <w:pPr>
        <w:pStyle w:val="ListParagraph"/>
        <w:numPr>
          <w:ilvl w:val="0"/>
          <w:numId w:val="3"/>
        </w:numPr>
        <w:spacing w:line="360" w:lineRule="auto"/>
        <w:ind w:left="1418" w:hanging="567"/>
        <w:rPr>
          <w:rFonts w:ascii="Arial" w:hAnsi="Arial" w:cs="Arial"/>
        </w:rPr>
      </w:pPr>
      <w:r>
        <w:rPr>
          <w:rFonts w:ascii="Arial" w:hAnsi="Arial" w:cs="Arial"/>
        </w:rPr>
        <w:t>F</w:t>
      </w:r>
      <w:r>
        <w:rPr>
          <w:rFonts w:ascii="Arial" w:hAnsi="Arial" w:cs="Arial"/>
        </w:rPr>
        <w:t>inancial information.</w:t>
      </w:r>
    </w:p>
    <w:p>
      <w:pPr>
        <w:pStyle w:val="Heading2"/>
        <w:rPr>
          <w:b/>
        </w:rPr>
      </w:pPr>
      <w:bookmarkStart w:id="3" w:name="_Toc208993561"/>
      <w:r>
        <w:t>Collection of personal information</w:t>
      </w:r>
      <w:bookmarkEnd w:id="3"/>
    </w:p>
    <w:p>
      <w:pPr>
        <w:pStyle w:val="Heading3"/>
        <w:spacing w:line="360" w:lineRule="auto"/>
      </w:pPr>
      <w:r>
        <w:tab/>
      </w:r>
      <w:bookmarkStart w:id="4" w:name="_Toc208993562"/>
      <w:r>
        <w:t xml:space="preserve">3.1 </w:t>
      </w:r>
      <w:r>
        <w:tab/>
      </w:r>
      <w:r>
        <w:t xml:space="preserve">Collection of personal </w:t>
      </w:r>
      <w:r>
        <w:t>information</w:t>
      </w:r>
      <w:bookmarkEnd w:id="4"/>
      <w:r>
        <w:t xml:space="preserve"> </w:t>
      </w:r>
    </w:p>
    <w:p>
      <w:pPr>
        <w:spacing w:line="240" w:lineRule="auto"/>
        <w:ind w:left="851"/>
        <w:rPr>
          <w:rFonts w:ascii="Arial" w:hAnsi="Arial" w:cs="Arial"/>
          <w:color w:val="06162F" w:themeColor="background1"/>
        </w:rPr>
      </w:pPr>
      <w:r>
        <w:rPr>
          <w:rFonts w:ascii="Arial" w:hAnsi="Arial" w:cs="Arial"/>
          <w:color w:val="06162F" w:themeColor="background1"/>
        </w:rPr>
        <w:t xml:space="preserve">We may collect and hold personal information for the purposes of enabling us to provide financial services to you. For example, in order for us to provide personal advice to you, we are required to verify your identity and obtain information relating to your financial situation and your personal goals and objectives – this is so we can assess your personal situation and provide you with appropriate financial advice. This information is generally collected directly from you as our client. </w:t>
      </w:r>
    </w:p>
    <w:p>
      <w:pPr>
        <w:spacing w:line="240" w:lineRule="auto"/>
        <w:ind w:left="851"/>
        <w:rPr>
          <w:rFonts w:ascii="Arial" w:hAnsi="Arial" w:cs="Arial"/>
          <w:color w:val="06162F" w:themeColor="background1"/>
        </w:rPr>
      </w:pPr>
      <w:r>
        <w:rPr>
          <w:rFonts w:ascii="Arial" w:hAnsi="Arial" w:cs="Arial"/>
          <w:color w:val="06162F" w:themeColor="background1"/>
        </w:rPr>
        <w:lastRenderedPageBreak/>
        <w:t>Any personal information collected by us is solely for the purpose of providing services to its clients and will not be disclosed unless the disclosure is required in the performance of those services (for example, disclosing your information to a financial institution in order to place an investment on your behalf). Where we obtain sensitive information (e.g. racial or ethnic origin, political opinions, religious beliefs or affiliations or criminal record), we will only do so with your consent and where the collection of such information is reasonably necessary for us to perform our function. For example, we may also collect sensitive information (e.g. your health records) for the purposes of arranging insurance for you or assisting you with insurance claims.</w:t>
      </w:r>
    </w:p>
    <w:p>
      <w:pPr>
        <w:spacing w:line="240" w:lineRule="auto"/>
        <w:ind w:left="851"/>
        <w:rPr>
          <w:rFonts w:ascii="Arial" w:hAnsi="Arial" w:cs="Arial"/>
          <w:color w:val="06162F" w:themeColor="background1"/>
        </w:rPr>
      </w:pPr>
      <w:r>
        <w:rPr>
          <w:rFonts w:ascii="Arial" w:hAnsi="Arial" w:cs="Arial"/>
          <w:color w:val="06162F" w:themeColor="background1"/>
        </w:rPr>
        <w:t>We will only collect personal information by lawful and fair means. In general, we collect personal information about you from you unless you consent to the collection of your personal information from someone else or it is unreasonable or impracticable to do so. In some instances, we may collect this information through third parties such as your family members, people authorised by you or health professionals (e.g. in the case of income protection insurance).</w:t>
      </w:r>
    </w:p>
    <w:p>
      <w:pPr>
        <w:spacing w:line="240" w:lineRule="auto"/>
        <w:ind w:left="851"/>
        <w:rPr>
          <w:rFonts w:ascii="Arial" w:hAnsi="Arial" w:cs="Arial"/>
          <w:color w:val="06162F" w:themeColor="background1"/>
        </w:rPr>
      </w:pPr>
      <w:r>
        <w:rPr>
          <w:rFonts w:ascii="Arial" w:hAnsi="Arial" w:cs="Arial"/>
          <w:color w:val="06162F" w:themeColor="background1"/>
        </w:rPr>
        <w:t>Any personal information held by us may be held in a number of ways including via hard copy, soft copy or offsite on electronic servers. For example, we may collect personal information from you when you complete our client data form for the purposes of allowing us to provide you with financial advice or we assist you to acquire or dispose of a financial product (e.g. invest in a managed fund or rollover your superannuation).</w:t>
      </w:r>
    </w:p>
    <w:p>
      <w:pPr>
        <w:pStyle w:val="Heading3"/>
        <w:spacing w:line="360" w:lineRule="auto"/>
      </w:pPr>
      <w:bookmarkStart w:id="5" w:name="_Toc208993563"/>
      <w:r>
        <w:t xml:space="preserve">3.2 </w:t>
      </w:r>
      <w:r>
        <w:tab/>
      </w:r>
      <w:r>
        <w:t>Dealing with unsolicited personal information</w:t>
      </w:r>
      <w:bookmarkEnd w:id="5"/>
    </w:p>
    <w:p>
      <w:pPr>
        <w:spacing w:line="240" w:lineRule="auto"/>
        <w:ind w:left="851"/>
        <w:rPr>
          <w:rFonts w:ascii="Arial" w:hAnsi="Arial" w:cs="Arial"/>
        </w:rPr>
      </w:pPr>
      <w:r>
        <w:rPr>
          <w:rFonts w:ascii="Arial" w:hAnsi="Arial" w:cs="Arial"/>
        </w:rPr>
        <w:t xml:space="preserve">If we receive unsolicited personal information, we will within a reasonable period after receiving the information, determine whether or not we could have collected the information under Australian Privacy Principle 3. If the information could not have been obtained under APP 3 we will take steps to destroy or de- identify the information as soon as practicable, if it is lawful and reasonable to do so. </w:t>
      </w:r>
    </w:p>
    <w:p>
      <w:pPr>
        <w:pStyle w:val="Heading3"/>
        <w:spacing w:line="360" w:lineRule="auto"/>
      </w:pPr>
      <w:bookmarkStart w:id="6" w:name="_Toc208993564"/>
      <w:r>
        <w:t xml:space="preserve">3.3 </w:t>
      </w:r>
      <w:r>
        <w:tab/>
      </w:r>
      <w:r>
        <w:t>Notification of the collection of personal information</w:t>
      </w:r>
      <w:bookmarkEnd w:id="6"/>
    </w:p>
    <w:p>
      <w:pPr>
        <w:spacing w:line="240" w:lineRule="auto"/>
        <w:ind w:left="851"/>
        <w:rPr>
          <w:rFonts w:ascii="Arial" w:hAnsi="Arial" w:cs="Arial"/>
        </w:rPr>
      </w:pPr>
      <w:r>
        <w:rPr>
          <w:rFonts w:ascii="Arial" w:hAnsi="Arial" w:cs="Arial"/>
        </w:rPr>
        <w:t>At or before the time we collect personal information about you, or if that is not practicable, as soon as practicable after, we will take reasonable steps to ensure you are aware of:</w:t>
      </w:r>
    </w:p>
    <w:p>
      <w:pPr>
        <w:pStyle w:val="ListParagraph"/>
        <w:numPr>
          <w:ilvl w:val="0"/>
          <w:numId w:val="4"/>
        </w:numPr>
        <w:spacing w:line="360" w:lineRule="auto"/>
        <w:ind w:left="1418" w:hanging="567"/>
        <w:rPr>
          <w:rFonts w:ascii="Arial" w:hAnsi="Arial" w:cs="Arial"/>
        </w:rPr>
      </w:pPr>
      <w:r>
        <w:rPr>
          <w:rFonts w:ascii="Arial" w:hAnsi="Arial" w:cs="Arial"/>
        </w:rPr>
        <w:t xml:space="preserve">who we are and our details; </w:t>
      </w:r>
    </w:p>
    <w:p>
      <w:pPr>
        <w:pStyle w:val="ListParagraph"/>
        <w:numPr>
          <w:ilvl w:val="0"/>
          <w:numId w:val="4"/>
        </w:numPr>
        <w:spacing w:line="360" w:lineRule="auto"/>
        <w:ind w:left="1418" w:hanging="567"/>
        <w:rPr>
          <w:rFonts w:ascii="Arial" w:hAnsi="Arial" w:cs="Arial"/>
        </w:rPr>
      </w:pPr>
      <w:r>
        <w:rPr>
          <w:rFonts w:ascii="Arial" w:hAnsi="Arial" w:cs="Arial"/>
        </w:rPr>
        <w:t xml:space="preserve">how we collect your personal information and whom from; </w:t>
      </w:r>
    </w:p>
    <w:p>
      <w:pPr>
        <w:pStyle w:val="ListParagraph"/>
        <w:numPr>
          <w:ilvl w:val="0"/>
          <w:numId w:val="4"/>
        </w:numPr>
        <w:ind w:left="1418" w:hanging="567"/>
        <w:rPr>
          <w:rFonts w:ascii="Arial" w:hAnsi="Arial" w:cs="Arial"/>
        </w:rPr>
      </w:pPr>
      <w:r>
        <w:rPr>
          <w:rFonts w:ascii="Arial" w:hAnsi="Arial" w:cs="Arial"/>
        </w:rPr>
        <w:t xml:space="preserve">whether the collection of your personal information is required or authorised by or under an Australian law or a court/tribunal order; </w:t>
      </w:r>
    </w:p>
    <w:p>
      <w:pPr>
        <w:pStyle w:val="ListParagraph"/>
        <w:ind w:left="1418" w:firstLine="0"/>
        <w:rPr>
          <w:rFonts w:ascii="Arial" w:hAnsi="Arial" w:cs="Arial"/>
        </w:rPr>
      </w:pPr>
      <w:r>
        <w:rPr>
          <w:rFonts w:ascii="Arial" w:hAnsi="Arial" w:cs="Arial"/>
        </w:rPr>
        <w:t>the purposes for which we collect your personal information;</w:t>
      </w:r>
    </w:p>
    <w:p>
      <w:pPr>
        <w:pStyle w:val="NoSpacing"/>
      </w:pPr>
    </w:p>
    <w:p>
      <w:pPr>
        <w:pStyle w:val="ListParagraph"/>
        <w:numPr>
          <w:ilvl w:val="0"/>
          <w:numId w:val="4"/>
        </w:numPr>
        <w:ind w:left="1418" w:hanging="567"/>
        <w:rPr>
          <w:rFonts w:ascii="Arial" w:hAnsi="Arial" w:cs="Arial"/>
        </w:rPr>
      </w:pPr>
      <w:r>
        <w:rPr>
          <w:rFonts w:ascii="Arial" w:hAnsi="Arial" w:cs="Arial"/>
        </w:rPr>
        <w:t xml:space="preserve">the main consequences (if any) if we do not collect all or some of the personal information; </w:t>
      </w:r>
    </w:p>
    <w:p>
      <w:pPr>
        <w:pStyle w:val="NoSpacing"/>
      </w:pPr>
    </w:p>
    <w:p>
      <w:pPr>
        <w:pStyle w:val="ListParagraph"/>
        <w:numPr>
          <w:ilvl w:val="0"/>
          <w:numId w:val="4"/>
        </w:numPr>
        <w:ind w:left="1418" w:hanging="567"/>
        <w:rPr>
          <w:rFonts w:ascii="Arial" w:hAnsi="Arial" w:cs="Arial"/>
        </w:rPr>
      </w:pPr>
      <w:r>
        <w:rPr>
          <w:rFonts w:ascii="Arial" w:hAnsi="Arial" w:cs="Arial"/>
        </w:rPr>
        <w:t>any other person or body to whom we would disclose the personal information that we have collected;</w:t>
      </w:r>
    </w:p>
    <w:p>
      <w:pPr>
        <w:spacing w:line="240" w:lineRule="auto"/>
        <w:rPr>
          <w:rFonts w:ascii="Arial" w:hAnsi="Arial" w:cs="Arial"/>
        </w:rPr>
      </w:pPr>
    </w:p>
    <w:p>
      <w:pPr>
        <w:pStyle w:val="ListParagraph"/>
        <w:numPr>
          <w:ilvl w:val="0"/>
          <w:numId w:val="4"/>
        </w:numPr>
        <w:ind w:left="1418" w:hanging="567"/>
        <w:rPr>
          <w:rFonts w:ascii="Arial" w:hAnsi="Arial" w:cs="Arial"/>
        </w:rPr>
      </w:pPr>
      <w:r>
        <w:rPr>
          <w:rFonts w:ascii="Arial" w:hAnsi="Arial" w:cs="Arial"/>
        </w:rPr>
        <w:t>information about how you may access the personal information held by us about you and how you may seek correction of such information;</w:t>
      </w:r>
    </w:p>
    <w:p>
      <w:pPr>
        <w:pStyle w:val="NoSpacing"/>
      </w:pPr>
    </w:p>
    <w:p>
      <w:pPr>
        <w:pStyle w:val="ListParagraph"/>
        <w:numPr>
          <w:ilvl w:val="0"/>
          <w:numId w:val="4"/>
        </w:numPr>
        <w:ind w:left="1418" w:hanging="567"/>
        <w:rPr>
          <w:rFonts w:ascii="Arial" w:hAnsi="Arial" w:cs="Arial"/>
        </w:rPr>
      </w:pPr>
      <w:r>
        <w:rPr>
          <w:rFonts w:ascii="Arial" w:hAnsi="Arial" w:cs="Arial"/>
        </w:rPr>
        <w:lastRenderedPageBreak/>
        <w:t>how you may complain about a breach of the Australian Privacy Principles and how the entity will deal with such a complaint;</w:t>
      </w:r>
    </w:p>
    <w:p>
      <w:pPr>
        <w:pStyle w:val="NoSpacing"/>
      </w:pPr>
    </w:p>
    <w:p>
      <w:pPr>
        <w:pStyle w:val="ListParagraph"/>
        <w:numPr>
          <w:ilvl w:val="0"/>
          <w:numId w:val="4"/>
        </w:numPr>
        <w:ind w:left="1418" w:hanging="567"/>
        <w:rPr>
          <w:rFonts w:ascii="Arial" w:hAnsi="Arial" w:cs="Arial"/>
        </w:rPr>
      </w:pPr>
      <w:r>
        <w:rPr>
          <w:rFonts w:ascii="Arial" w:hAnsi="Arial" w:cs="Arial"/>
        </w:rPr>
        <w:t>whether we are likely to disclose the personal information to overseas</w:t>
      </w:r>
      <w:r>
        <w:rPr>
          <w:rFonts w:ascii="Arial" w:hAnsi="Arial" w:cs="Arial"/>
        </w:rPr>
        <w:t xml:space="preserve"> </w:t>
      </w:r>
      <w:r>
        <w:rPr>
          <w:rFonts w:ascii="Arial" w:hAnsi="Arial" w:cs="Arial"/>
        </w:rPr>
        <w:t>recipients (if so where).</w:t>
      </w:r>
    </w:p>
    <w:p>
      <w:pPr>
        <w:pStyle w:val="ListParagraph"/>
        <w:rPr>
          <w:rFonts w:ascii="Arial" w:hAnsi="Arial" w:cs="Arial"/>
        </w:rPr>
      </w:pPr>
    </w:p>
    <w:p>
      <w:pPr>
        <w:pStyle w:val="ListParagraph"/>
        <w:ind w:left="1418" w:firstLine="0"/>
        <w:rPr>
          <w:rFonts w:ascii="Arial" w:hAnsi="Arial" w:cs="Arial"/>
        </w:rPr>
      </w:pPr>
    </w:p>
    <w:p>
      <w:pPr>
        <w:pStyle w:val="Heading3"/>
        <w:spacing w:line="360" w:lineRule="auto"/>
      </w:pPr>
      <w:bookmarkStart w:id="7" w:name="_Toc208993565"/>
      <w:r>
        <w:t xml:space="preserve">3.4 </w:t>
      </w:r>
      <w:r>
        <w:tab/>
      </w:r>
      <w:r>
        <w:t>Anonymity and pseudonymity</w:t>
      </w:r>
      <w:bookmarkEnd w:id="7"/>
    </w:p>
    <w:p>
      <w:pPr>
        <w:pStyle w:val="paragraph"/>
        <w:spacing w:before="0" w:beforeAutospacing="0" w:after="0" w:afterAutospacing="0"/>
        <w:ind w:left="839"/>
        <w:textAlignment w:val="baseline"/>
        <w:rPr>
          <w:rStyle w:val="eop"/>
          <w:rFonts w:ascii="Arial" w:hAnsi="Arial" w:cs="Arial"/>
        </w:rPr>
      </w:pPr>
      <w:r>
        <w:rPr>
          <w:rStyle w:val="normaltextrun"/>
          <w:rFonts w:ascii="Arial" w:hAnsi="Arial" w:cs="Arial"/>
        </w:rPr>
        <w:t xml:space="preserve">You may wish to deal with us </w:t>
      </w:r>
      <w:r>
        <w:rPr>
          <w:rStyle w:val="normaltextrun"/>
          <w:rFonts w:ascii="Arial" w:hAnsi="Arial" w:cs="Arial"/>
        </w:rPr>
        <w:t>anonymously;</w:t>
      </w:r>
      <w:r>
        <w:rPr>
          <w:rStyle w:val="normaltextrun"/>
          <w:rFonts w:ascii="Arial" w:hAnsi="Arial" w:cs="Arial"/>
        </w:rPr>
        <w:t xml:space="preserve"> however, this is likely to limit the services we provide to you as our principal business relates to the provision of financial services (and in most cases, the provision of personal advice) which would require individuals to provide personal information. We are also required under </w:t>
      </w:r>
      <w:r>
        <w:rPr>
          <w:rStyle w:val="findhit"/>
          <w:rFonts w:ascii="Arial" w:hAnsi="Arial" w:cs="Arial"/>
        </w:rPr>
        <w:t>Anti</w:t>
      </w:r>
      <w:r>
        <w:rPr>
          <w:rStyle w:val="normaltextrun"/>
          <w:rFonts w:ascii="Arial" w:hAnsi="Arial" w:cs="Arial"/>
        </w:rPr>
        <w:t>-Money Laundering and Counter-Terrorism Financing Act 2006 (Cth) to</w:t>
      </w:r>
      <w:r>
        <w:rPr>
          <w:rStyle w:val="normaltextrun"/>
          <w:rFonts w:ascii="Arial" w:hAnsi="Arial" w:cs="Arial"/>
        </w:rPr>
        <w:t xml:space="preserve"> c</w:t>
      </w:r>
      <w:r>
        <w:rPr>
          <w:rStyle w:val="normaltextrun"/>
          <w:rFonts w:ascii="Arial" w:hAnsi="Arial" w:cs="Arial"/>
        </w:rPr>
        <w:t>onduct customer due diligence and appropriately identify clients. </w:t>
      </w:r>
      <w:r>
        <w:rPr>
          <w:rStyle w:val="eop"/>
          <w:rFonts w:ascii="Arial" w:hAnsi="Arial" w:cs="Arial"/>
        </w:rPr>
        <w:t> </w:t>
      </w:r>
    </w:p>
    <w:p>
      <w:pPr>
        <w:pStyle w:val="paragraph"/>
        <w:spacing w:before="0" w:beforeAutospacing="0" w:after="0" w:afterAutospacing="0"/>
        <w:ind w:left="840"/>
        <w:textAlignment w:val="baseline"/>
        <w:rPr>
          <w:rFonts w:ascii="Segoe UI" w:hAnsi="Segoe UI" w:cs="Segoe UI"/>
          <w:sz w:val="18"/>
          <w:szCs w:val="18"/>
        </w:rPr>
      </w:pPr>
    </w:p>
    <w:p>
      <w:pPr>
        <w:pStyle w:val="Heading3"/>
        <w:spacing w:line="360" w:lineRule="auto"/>
      </w:pPr>
      <w:bookmarkStart w:id="8" w:name="_Toc208993566"/>
      <w:r>
        <w:t xml:space="preserve">3.5 </w:t>
      </w:r>
      <w:r>
        <w:tab/>
      </w:r>
      <w:r>
        <w:t>If you don't provide us with the information we request</w:t>
      </w:r>
      <w:bookmarkEnd w:id="8"/>
    </w:p>
    <w:p>
      <w:pPr>
        <w:spacing w:line="240" w:lineRule="auto"/>
        <w:ind w:left="851"/>
        <w:rPr>
          <w:rFonts w:ascii="Arial" w:hAnsi="Arial" w:cs="Arial"/>
        </w:rPr>
      </w:pPr>
      <w:r>
        <w:rPr>
          <w:rFonts w:ascii="Arial" w:hAnsi="Arial" w:cs="Arial"/>
        </w:rPr>
        <w:t>It is your choice as to whether you wish to provide us with the information we request. However, given the nature of our business, we may not be able to provide you with the financial services you require if you don't provide us with the relevant personal information to help us review your personal circumstances.</w:t>
      </w:r>
    </w:p>
    <w:p>
      <w:pPr>
        <w:pStyle w:val="Heading2"/>
        <w:rPr>
          <w:b/>
        </w:rPr>
      </w:pPr>
      <w:bookmarkStart w:id="9" w:name="_Toc208993567"/>
      <w:r>
        <w:t>Use or disclosure of personal information</w:t>
      </w:r>
      <w:bookmarkEnd w:id="9"/>
    </w:p>
    <w:p>
      <w:pPr>
        <w:spacing w:line="240" w:lineRule="auto"/>
        <w:ind w:left="851"/>
        <w:rPr>
          <w:rFonts w:ascii="Arial" w:hAnsi="Arial" w:cs="Arial"/>
        </w:rPr>
      </w:pPr>
      <w:r>
        <w:rPr>
          <w:rFonts w:ascii="Arial" w:hAnsi="Arial" w:cs="Arial"/>
        </w:rPr>
        <w:t xml:space="preserve">If we collect personal information for a specific purpose (e.g. to provide financial services to you), we will not use or disclose the information for another purpose unless you consent to the use or disclosure of the information or an exception in the APPs applies. </w:t>
      </w:r>
    </w:p>
    <w:p>
      <w:pPr>
        <w:pStyle w:val="Heading3"/>
        <w:spacing w:line="360" w:lineRule="auto"/>
      </w:pPr>
      <w:bookmarkStart w:id="10" w:name="_Toc208993568"/>
      <w:r>
        <w:t xml:space="preserve">4.1 </w:t>
      </w:r>
      <w:r>
        <w:tab/>
      </w:r>
      <w:r>
        <w:t>Direct Marketing</w:t>
      </w:r>
      <w:bookmarkEnd w:id="10"/>
    </w:p>
    <w:p>
      <w:pPr>
        <w:spacing w:line="240" w:lineRule="auto"/>
        <w:ind w:left="851"/>
        <w:rPr>
          <w:rFonts w:ascii="Arial" w:hAnsi="Arial" w:cs="Arial"/>
        </w:rPr>
      </w:pPr>
      <w:r>
        <w:rPr>
          <w:rFonts w:ascii="Arial" w:hAnsi="Arial" w:cs="Arial"/>
        </w:rPr>
        <w:t xml:space="preserve">We may use and disclose your personal information to keep you informed about the range of financial products and services that we think may be relevant or of interest to you. You can opt out of receiving direct marketing information from us at any time by contacting us. </w:t>
      </w:r>
    </w:p>
    <w:p>
      <w:pPr>
        <w:pStyle w:val="Heading3"/>
        <w:spacing w:line="360" w:lineRule="auto"/>
      </w:pPr>
      <w:bookmarkStart w:id="11" w:name="_Toc208993569"/>
      <w:r>
        <w:t xml:space="preserve">4.2 </w:t>
      </w:r>
      <w:r>
        <w:tab/>
      </w:r>
      <w:r>
        <w:t>Disclosure of information overseas</w:t>
      </w:r>
      <w:bookmarkEnd w:id="11"/>
      <w:r>
        <w:t xml:space="preserve"> </w:t>
      </w:r>
    </w:p>
    <w:p>
      <w:pPr>
        <w:spacing w:line="240" w:lineRule="auto"/>
        <w:ind w:left="851"/>
        <w:rPr>
          <w:rFonts w:ascii="Arial" w:hAnsi="Arial" w:cs="Arial"/>
        </w:rPr>
      </w:pPr>
      <w:r>
        <w:rPr>
          <w:rFonts w:ascii="Arial" w:hAnsi="Arial" w:cs="Arial"/>
        </w:rPr>
        <w:t xml:space="preserve">From time to </w:t>
      </w:r>
      <w:r>
        <w:rPr>
          <w:rFonts w:ascii="Arial" w:hAnsi="Arial" w:cs="Arial"/>
        </w:rPr>
        <w:t>time,</w:t>
      </w:r>
      <w:r>
        <w:rPr>
          <w:rFonts w:ascii="Arial" w:hAnsi="Arial" w:cs="Arial"/>
        </w:rPr>
        <w:t xml:space="preserve"> we may send your information overseas to our service providers or other third parties who operate or hold data outside Australia. Where we do this, we make sure that appropriate data handling and security arrangements are in place. </w:t>
      </w:r>
      <w:r>
        <w:rPr>
          <w:rFonts w:ascii="Arial" w:hAnsi="Arial" w:cs="Arial"/>
        </w:rPr>
        <w:t xml:space="preserve">We will also advise you of the countries </w:t>
      </w:r>
      <w:r>
        <w:rPr>
          <w:rFonts w:ascii="Arial" w:hAnsi="Arial" w:cs="Arial"/>
        </w:rPr>
        <w:t>where you</w:t>
      </w:r>
      <w:r>
        <w:rPr>
          <w:rFonts w:ascii="Arial" w:hAnsi="Arial" w:cs="Arial"/>
        </w:rPr>
        <w:t>r</w:t>
      </w:r>
      <w:r>
        <w:rPr>
          <w:rFonts w:ascii="Arial" w:hAnsi="Arial" w:cs="Arial"/>
        </w:rPr>
        <w:t xml:space="preserve"> data may be stored. </w:t>
      </w:r>
    </w:p>
    <w:p>
      <w:pPr>
        <w:pStyle w:val="Heading2"/>
        <w:rPr>
          <w:b/>
        </w:rPr>
      </w:pPr>
      <w:bookmarkStart w:id="12" w:name="_Toc208993570"/>
      <w:r>
        <w:t>Security and access to your personal information</w:t>
      </w:r>
      <w:bookmarkEnd w:id="12"/>
    </w:p>
    <w:p>
      <w:pPr>
        <w:pStyle w:val="Heading3"/>
        <w:spacing w:line="360" w:lineRule="auto"/>
      </w:pPr>
      <w:bookmarkStart w:id="13" w:name="_Toc208993571"/>
      <w:r>
        <w:t xml:space="preserve">5.1 </w:t>
      </w:r>
      <w:r>
        <w:tab/>
      </w:r>
      <w:r>
        <w:t>Information accuracy</w:t>
      </w:r>
      <w:bookmarkEnd w:id="13"/>
    </w:p>
    <w:p w14:paraId="42A12783" w14:textId="480FF0E7">
      <w:pPr>
        <w:spacing w:line="240" w:lineRule="auto"/>
        <w:ind w:left="851"/>
        <w:rPr>
          <w:rFonts w:ascii="Arial" w:hAnsi="Arial" w:cs="Arial"/>
        </w:rPr>
      </w:pPr>
      <w:r>
        <w:rPr>
          <w:rFonts w:ascii="Arial" w:hAnsi="Arial" w:cs="Arial"/>
        </w:rPr>
        <w:t xml:space="preserve">We take reasonable steps to ensure that all personal data collected is accurate, up to date and complete. You can ask us to correct any inaccurate information we hold or have provided to others by contacting us using the details in this policy. If the information that is corrected is information we have provided to others, you can ask us to notify them of the correction. </w:t>
      </w:r>
    </w:p>
    <w:p>
      <w:pPr>
        <w:pStyle w:val="Heading3"/>
        <w:spacing w:line="360" w:lineRule="auto"/>
      </w:pPr>
      <w:bookmarkStart w:id="14" w:name="_Toc208993572"/>
      <w:r>
        <w:t xml:space="preserve">5.2 </w:t>
      </w:r>
      <w:r>
        <w:tab/>
      </w:r>
      <w:r>
        <w:t>Security of personal information</w:t>
      </w:r>
      <w:bookmarkEnd w:id="14"/>
      <w:r>
        <w:t xml:space="preserve"> </w:t>
      </w:r>
    </w:p>
    <w:p>
      <w:pPr>
        <w:spacing w:line="240" w:lineRule="auto"/>
        <w:ind w:left="851"/>
        <w:rPr>
          <w:rFonts w:ascii="Arial" w:hAnsi="Arial" w:cs="Arial"/>
        </w:rPr>
      </w:pPr>
      <w:r>
        <w:rPr>
          <w:rFonts w:ascii="Arial" w:hAnsi="Arial" w:cs="Arial"/>
        </w:rPr>
        <w:t>We take care to protect the security of your personal information. We may hold your personal information in a combination of secure computer storage facilities, paper-based files and other formats.</w:t>
      </w:r>
      <w:r>
        <w:rPr>
          <w:rFonts w:ascii="Arial" w:hAnsi="Arial" w:cs="Arial"/>
        </w:rPr>
        <w:t xml:space="preserve"> </w:t>
      </w:r>
      <w:r>
        <w:rPr>
          <w:rFonts w:ascii="Arial" w:hAnsi="Arial" w:cs="Arial"/>
        </w:rPr>
        <w:t>Endure Wealth Pty Ltd</w:t>
      </w:r>
      <w:r>
        <w:rPr>
          <w:rFonts w:ascii="Arial" w:hAnsi="Arial" w:cs="Arial"/>
        </w:rPr>
        <w:t xml:space="preserve"> </w:t>
      </w:r>
      <w:r>
        <w:rPr>
          <w:rFonts w:ascii="Arial" w:hAnsi="Arial" w:cs="Arial"/>
        </w:rPr>
        <w:t xml:space="preserve">uses Integrity Connect, a </w:t>
      </w:r>
      <w:r>
        <w:rPr>
          <w:rFonts w:ascii="Arial" w:hAnsi="Arial" w:cs="Arial"/>
        </w:rPr>
        <w:lastRenderedPageBreak/>
        <w:t xml:space="preserve">Salesforce </w:t>
      </w:r>
      <w:r>
        <w:rPr>
          <w:rFonts w:ascii="Arial" w:hAnsi="Arial" w:cs="Arial"/>
        </w:rPr>
        <w:t xml:space="preserve">based </w:t>
      </w:r>
      <w:r>
        <w:rPr>
          <w:rFonts w:ascii="Arial" w:hAnsi="Arial" w:cs="Arial"/>
        </w:rPr>
        <w:t>tool to store data and therefore</w:t>
      </w:r>
      <w:r>
        <w:rPr>
          <w:rFonts w:ascii="Arial" w:hAnsi="Arial" w:cs="Arial"/>
        </w:rPr>
        <w:t>, client personal</w:t>
      </w:r>
      <w:r>
        <w:rPr>
          <w:rFonts w:ascii="Arial" w:hAnsi="Arial" w:cs="Arial"/>
        </w:rPr>
        <w:t xml:space="preserve"> information may be stored on </w:t>
      </w:r>
      <w:r>
        <w:rPr>
          <w:rFonts w:ascii="Arial" w:hAnsi="Arial" w:cs="Arial"/>
        </w:rPr>
        <w:t xml:space="preserve">servers hosted in </w:t>
      </w:r>
      <w:r>
        <w:rPr>
          <w:rFonts w:ascii="Arial" w:hAnsi="Arial" w:cs="Arial"/>
        </w:rPr>
        <w:t>Australia</w:t>
      </w:r>
      <w:r>
        <w:rPr>
          <w:rFonts w:ascii="Arial" w:hAnsi="Arial" w:cs="Arial"/>
        </w:rPr>
        <w:t xml:space="preserve">. </w:t>
      </w:r>
      <w:r>
        <w:rPr>
          <w:rFonts w:ascii="Arial" w:hAnsi="Arial" w:cs="Arial"/>
        </w:rPr>
        <w:t xml:space="preserve">For the purposes of maintaining </w:t>
      </w:r>
      <w:r>
        <w:rPr>
          <w:rFonts w:ascii="Arial" w:hAnsi="Arial" w:cs="Arial"/>
        </w:rPr>
        <w:t xml:space="preserve">and improving the functionality of </w:t>
      </w:r>
      <w:r>
        <w:rPr>
          <w:rFonts w:ascii="Arial" w:hAnsi="Arial" w:cs="Arial"/>
        </w:rPr>
        <w:t>Integrity Connect</w:t>
      </w:r>
      <w:r>
        <w:rPr>
          <w:rFonts w:ascii="Arial" w:hAnsi="Arial" w:cs="Arial"/>
        </w:rPr>
        <w:t xml:space="preserve"> a</w:t>
      </w:r>
      <w:r>
        <w:rPr>
          <w:rFonts w:ascii="Arial" w:hAnsi="Arial" w:cs="Arial"/>
        </w:rPr>
        <w:t>dministrators</w:t>
      </w:r>
      <w:r>
        <w:rPr>
          <w:rFonts w:ascii="Arial" w:hAnsi="Arial" w:cs="Arial"/>
        </w:rPr>
        <w:t xml:space="preserve"> </w:t>
      </w:r>
      <w:r>
        <w:rPr>
          <w:rFonts w:ascii="Arial" w:hAnsi="Arial" w:cs="Arial"/>
        </w:rPr>
        <w:t xml:space="preserve">have been engaged, </w:t>
      </w:r>
      <w:r>
        <w:rPr>
          <w:rFonts w:ascii="Arial" w:hAnsi="Arial" w:cs="Arial"/>
        </w:rPr>
        <w:t xml:space="preserve">who are located in the Philippines </w:t>
      </w:r>
      <w:r>
        <w:rPr>
          <w:rFonts w:ascii="Arial" w:hAnsi="Arial" w:cs="Arial"/>
        </w:rPr>
        <w:t xml:space="preserve">however </w:t>
      </w:r>
      <w:r>
        <w:rPr>
          <w:rFonts w:ascii="Arial" w:hAnsi="Arial" w:cs="Arial"/>
        </w:rPr>
        <w:t xml:space="preserve">it would be unlikely personal or sensitive client information would </w:t>
      </w:r>
      <w:r>
        <w:rPr>
          <w:rFonts w:ascii="Arial" w:hAnsi="Arial" w:cs="Arial"/>
        </w:rPr>
        <w:t>be stored in Salesforce unless the Licensee dr</w:t>
      </w:r>
      <w:r>
        <w:rPr>
          <w:rFonts w:ascii="Arial" w:hAnsi="Arial" w:cs="Arial"/>
        </w:rPr>
        <w:t>opped a file into Salesforce which contained this information</w:t>
      </w:r>
      <w:r>
        <w:rPr>
          <w:rFonts w:ascii="Arial" w:hAnsi="Arial" w:cs="Arial"/>
        </w:rPr>
        <w:t>.</w:t>
      </w:r>
      <w:r>
        <w:rPr>
          <w:rFonts w:ascii="Arial" w:hAnsi="Arial" w:cs="Arial"/>
        </w:rPr>
        <w:t xml:space="preserve"> </w:t>
      </w:r>
      <w:r>
        <w:rPr>
          <w:rFonts w:ascii="Arial" w:hAnsi="Arial" w:cs="Arial"/>
        </w:rPr>
        <w:t xml:space="preserve">We take </w:t>
      </w:r>
      <w:r>
        <w:rPr>
          <w:rFonts w:ascii="Arial" w:hAnsi="Arial" w:cs="Arial"/>
        </w:rPr>
        <w:t>reasonable steps to protect personal information from misuse, loss, unauthorised access, modification or improper disclosure. These include</w:t>
      </w:r>
      <w:r>
        <w:rPr>
          <w:rFonts w:ascii="Arial" w:hAnsi="Arial" w:cs="Arial"/>
        </w:rPr>
        <w:t xml:space="preserve"> instructing our staff</w:t>
      </w:r>
      <w:r>
        <w:rPr>
          <w:rFonts w:ascii="Arial" w:hAnsi="Arial" w:cs="Arial"/>
        </w:rPr>
        <w:t xml:space="preserve">, </w:t>
      </w:r>
      <w:r>
        <w:rPr>
          <w:rFonts w:ascii="Arial" w:hAnsi="Arial" w:cs="Arial"/>
        </w:rPr>
        <w:t>contractors</w:t>
      </w:r>
      <w:r>
        <w:rPr>
          <w:rFonts w:ascii="Arial" w:hAnsi="Arial" w:cs="Arial"/>
        </w:rPr>
        <w:t xml:space="preserve"> and</w:t>
      </w:r>
      <w:r>
        <w:rPr>
          <w:rFonts w:ascii="Arial" w:hAnsi="Arial" w:cs="Arial"/>
        </w:rPr>
        <w:t xml:space="preserve"> financial advisers who handle personal information to respect the confidentiality of customer information and the privacy of individuals.</w:t>
      </w:r>
      <w:r>
        <w:rPr>
          <w:rFonts w:ascii="Arial" w:hAnsi="Arial" w:cs="Arial"/>
        </w:rPr>
        <w:t xml:space="preserve"> </w:t>
      </w:r>
      <w:r>
        <w:rPr>
          <w:rFonts w:ascii="Arial" w:hAnsi="Arial" w:cs="Arial"/>
        </w:rPr>
        <w:t xml:space="preserve">There are rigid protocols in place with respect to the handling of </w:t>
      </w:r>
      <w:r>
        <w:rPr>
          <w:rFonts w:ascii="Arial" w:hAnsi="Arial" w:cs="Arial"/>
        </w:rPr>
        <w:t xml:space="preserve">client data overseas which include procuring a remote access set up which allows our Salesforce team to interact with the system only through our network, </w:t>
      </w:r>
      <w:r>
        <w:rPr>
          <w:rFonts w:ascii="Arial" w:hAnsi="Arial" w:cs="Arial"/>
        </w:rPr>
        <w:t xml:space="preserve">ensuring the team have no ability to access our system on their local machines, or download/export any data from outside of our system, full transparency of the user's </w:t>
      </w:r>
      <w:r>
        <w:rPr>
          <w:rFonts w:ascii="Arial" w:hAnsi="Arial" w:cs="Arial"/>
        </w:rPr>
        <w:t xml:space="preserve">digital footprint, detailed reporting from our IT partners and the use of dedicated </w:t>
      </w:r>
      <w:r>
        <w:rPr>
          <w:rFonts w:ascii="Arial" w:hAnsi="Arial" w:cs="Arial"/>
        </w:rPr>
        <w:t xml:space="preserve"> </w:t>
      </w:r>
      <w:r>
        <w:rPr>
          <w:rFonts w:ascii="Arial" w:hAnsi="Arial" w:cs="Arial"/>
        </w:rPr>
        <w:t xml:space="preserve">IP's only.  </w:t>
      </w:r>
      <w:r>
        <w:rPr>
          <w:rFonts w:ascii="Arial" w:hAnsi="Arial" w:cs="Arial"/>
        </w:rPr>
        <w:t>Please note, we are required by law to retain your personal information for a specific amount of time. We will generally destroy or de-identify personal information if it is no longer required.</w:t>
      </w:r>
    </w:p>
    <w:p>
      <w:pPr>
        <w:pStyle w:val="Heading3"/>
        <w:spacing w:line="360" w:lineRule="auto"/>
      </w:pPr>
      <w:bookmarkStart w:id="15" w:name="_Toc208993573"/>
      <w:r>
        <w:t xml:space="preserve">5.3 </w:t>
      </w:r>
      <w:r>
        <w:tab/>
      </w:r>
      <w:r>
        <w:t>Access to and correction of personal information</w:t>
      </w:r>
      <w:bookmarkEnd w:id="15"/>
    </w:p>
    <w:p>
      <w:pPr>
        <w:spacing w:line="240" w:lineRule="auto"/>
        <w:ind w:left="851"/>
        <w:rPr>
          <w:rFonts w:ascii="Arial" w:hAnsi="Arial" w:cs="Arial"/>
        </w:rPr>
      </w:pPr>
      <w:r>
        <w:rPr>
          <w:rFonts w:ascii="Arial" w:hAnsi="Arial" w:cs="Arial"/>
        </w:rPr>
        <w:t>You can contact us to access or correct any personal information we hold about you. However, in certain situations, we are permitted to refuse access to personal information. These situations include where:</w:t>
      </w:r>
    </w:p>
    <w:p>
      <w:pPr>
        <w:pStyle w:val="ListParagraph"/>
        <w:numPr>
          <w:ilvl w:val="0"/>
          <w:numId w:val="5"/>
        </w:numPr>
        <w:spacing w:after="120" w:line="360" w:lineRule="auto"/>
        <w:ind w:left="1418" w:hanging="567"/>
        <w:rPr>
          <w:rFonts w:ascii="Arial" w:hAnsi="Arial" w:cs="Arial"/>
        </w:rPr>
      </w:pPr>
      <w:r>
        <w:rPr>
          <w:rFonts w:ascii="Arial" w:hAnsi="Arial" w:cs="Arial"/>
        </w:rPr>
        <w:t>giving access would have an unreasonable impact on the privacy of other individuals</w:t>
      </w:r>
    </w:p>
    <w:p>
      <w:pPr>
        <w:pStyle w:val="ListParagraph"/>
        <w:numPr>
          <w:ilvl w:val="0"/>
          <w:numId w:val="5"/>
        </w:numPr>
        <w:spacing w:after="120" w:line="360" w:lineRule="auto"/>
        <w:ind w:left="1418" w:hanging="567"/>
        <w:rPr>
          <w:rFonts w:ascii="Arial" w:hAnsi="Arial" w:cs="Arial"/>
        </w:rPr>
      </w:pPr>
      <w:r>
        <w:rPr>
          <w:rFonts w:ascii="Arial" w:hAnsi="Arial" w:cs="Arial"/>
        </w:rPr>
        <w:t xml:space="preserve">giving access would be unlawful, or where denying access is required or authorised by an Australian law or a court order </w:t>
      </w:r>
    </w:p>
    <w:p>
      <w:pPr>
        <w:pStyle w:val="ListParagraph"/>
        <w:numPr>
          <w:ilvl w:val="0"/>
          <w:numId w:val="5"/>
        </w:numPr>
        <w:spacing w:after="120" w:line="360" w:lineRule="auto"/>
        <w:ind w:left="1418" w:hanging="567"/>
        <w:rPr>
          <w:rFonts w:ascii="Arial" w:hAnsi="Arial" w:cs="Arial"/>
        </w:rPr>
      </w:pPr>
      <w:r>
        <w:rPr>
          <w:rFonts w:ascii="Arial" w:hAnsi="Arial" w:cs="Arial"/>
        </w:rPr>
        <w:t>giving access is likely to interfere with law enforcement activities.</w:t>
      </w:r>
    </w:p>
    <w:p>
      <w:pPr>
        <w:spacing w:line="240" w:lineRule="auto"/>
        <w:ind w:left="851"/>
        <w:rPr>
          <w:rFonts w:ascii="Arial" w:hAnsi="Arial" w:cs="Arial"/>
        </w:rPr>
      </w:pPr>
      <w:r>
        <w:rPr>
          <w:rFonts w:ascii="Arial" w:hAnsi="Arial" w:cs="Arial"/>
        </w:rPr>
        <w:t>For other situations, please consider Australian Privacy Principle 12.</w:t>
      </w:r>
    </w:p>
    <w:p>
      <w:pPr>
        <w:spacing w:line="240" w:lineRule="auto"/>
        <w:ind w:left="851"/>
        <w:rPr>
          <w:rFonts w:ascii="Arial" w:hAnsi="Arial" w:cs="Arial"/>
        </w:rPr>
      </w:pPr>
      <w:r>
        <w:rPr>
          <w:rFonts w:ascii="Arial" w:hAnsi="Arial" w:cs="Arial"/>
        </w:rPr>
        <w:t>If we receive a request to access personal information, we aim to respond to that request in a reasonable timeframe. In general, we will not impose an access charge unless the request of access and correct personal information is excessively onerous.</w:t>
      </w:r>
    </w:p>
    <w:p>
      <w:pPr>
        <w:spacing w:line="240" w:lineRule="auto"/>
        <w:ind w:left="851"/>
        <w:rPr>
          <w:rFonts w:ascii="Arial" w:hAnsi="Arial" w:cs="Arial"/>
        </w:rPr>
      </w:pPr>
      <w:r>
        <w:rPr>
          <w:rFonts w:ascii="Arial" w:hAnsi="Arial" w:cs="Arial"/>
        </w:rPr>
        <w:t xml:space="preserve">If we refuse access to personal information, we will provide you with reasons as to why access was refused and provide you with information on how to lodge a complaint about the refusal. </w:t>
      </w:r>
    </w:p>
    <w:p>
      <w:pPr>
        <w:pStyle w:val="Heading3"/>
        <w:spacing w:line="360" w:lineRule="auto"/>
      </w:pPr>
      <w:bookmarkStart w:id="16" w:name="_Toc208993574"/>
      <w:r>
        <w:t xml:space="preserve">5.4 </w:t>
      </w:r>
      <w:r>
        <w:tab/>
      </w:r>
      <w:r>
        <w:t>Data breach</w:t>
      </w:r>
      <w:bookmarkEnd w:id="16"/>
    </w:p>
    <w:p>
      <w:pPr>
        <w:spacing w:line="240" w:lineRule="auto"/>
        <w:ind w:left="851"/>
        <w:rPr>
          <w:rFonts w:ascii="Arial" w:hAnsi="Arial" w:cs="Arial"/>
          <w:color w:val="06162F" w:themeColor="background1"/>
        </w:rPr>
      </w:pPr>
      <w:r>
        <w:rPr>
          <w:rFonts w:ascii="Arial" w:hAnsi="Arial" w:cs="Arial"/>
          <w:color w:val="06162F" w:themeColor="background1"/>
        </w:rPr>
        <w:t>A data breach occurs when personal information held by us is lost or subjected to unauthorised access, modification, disclosure, or other misuse or interference. Examples of a data breach are when a device containing personal information of clients is lost or stolen, or when a database containing personal information is hacked or if we mistakenly provide personal information to the wrong person.</w:t>
      </w:r>
    </w:p>
    <w:p>
      <w:pPr>
        <w:spacing w:line="240" w:lineRule="auto"/>
        <w:ind w:left="851"/>
        <w:rPr>
          <w:rFonts w:ascii="Arial" w:hAnsi="Arial" w:cs="Arial"/>
          <w:color w:val="06162F" w:themeColor="background1"/>
        </w:rPr>
      </w:pPr>
      <w:r>
        <w:rPr>
          <w:rFonts w:ascii="Arial" w:hAnsi="Arial" w:cs="Arial"/>
          <w:color w:val="06162F" w:themeColor="background1"/>
        </w:rPr>
        <w:t xml:space="preserve">Under the Privacy Amendment (Notifiable Data Breaches) Act 2017, we have an obligation to assess within 30 days whether a data breach amounts to an 'eligible data breach' if we become aware that there are reasonable grounds to suspect that data breach may have occurred. </w:t>
      </w:r>
    </w:p>
    <w:p>
      <w:pPr>
        <w:spacing w:line="240" w:lineRule="auto"/>
        <w:ind w:left="851"/>
        <w:rPr>
          <w:rFonts w:ascii="Arial" w:hAnsi="Arial" w:cs="Arial"/>
          <w:color w:val="06162F" w:themeColor="background1"/>
        </w:rPr>
      </w:pPr>
      <w:r>
        <w:rPr>
          <w:rFonts w:ascii="Arial" w:hAnsi="Arial" w:cs="Arial"/>
          <w:color w:val="06162F" w:themeColor="background1"/>
        </w:rPr>
        <w:lastRenderedPageBreak/>
        <w:t xml:space="preserve">If we form the view that the data breach would likely result in serious harm to any of the individuals to whom the information relates despite any remedial action taken by us, then the data breach will constitute an 'eligible data breach'. If an eligible data breach occurs, we have an obligation to notify you and the Office of the Australian Information Commissioner and of the details of the eligible data breach. </w:t>
      </w:r>
    </w:p>
    <w:p>
      <w:pPr>
        <w:pStyle w:val="Heading3"/>
        <w:spacing w:line="360" w:lineRule="auto"/>
      </w:pPr>
      <w:bookmarkStart w:id="17" w:name="_Toc208993575"/>
      <w:r>
        <w:t>5.5</w:t>
      </w:r>
      <w:r>
        <w:tab/>
      </w:r>
      <w:r>
        <w:t>Privacy Act Reforms</w:t>
      </w:r>
      <w:bookmarkEnd w:id="17"/>
    </w:p>
    <w:p>
      <w:pPr>
        <w:spacing w:line="240" w:lineRule="auto"/>
        <w:ind w:left="851"/>
        <w:rPr>
          <w:rFonts w:ascii="Arial" w:hAnsi="Arial" w:cs="Arial"/>
        </w:rPr>
      </w:pPr>
      <w:r>
        <w:rPr>
          <w:rFonts w:ascii="Arial" w:hAnsi="Arial" w:cs="Arial"/>
        </w:rPr>
        <w:t>As part of the Privacy Act Reforms (</w:t>
      </w:r>
      <w:r>
        <w:rPr>
          <w:rFonts w:ascii="Arial" w:hAnsi="Arial" w:cs="Arial"/>
          <w:b/>
          <w:bCs/>
        </w:rPr>
        <w:t>the Reforms</w:t>
      </w:r>
      <w:r>
        <w:rPr>
          <w:rFonts w:ascii="Arial" w:hAnsi="Arial" w:cs="Arial"/>
        </w:rPr>
        <w:t xml:space="preserve">) </w:t>
      </w:r>
      <w:r>
        <w:rPr>
          <w:rFonts w:ascii="Arial" w:hAnsi="Arial" w:cs="Arial"/>
        </w:rPr>
        <w:t xml:space="preserve">there are a number of new legal obligations which raise the bar on how Australian businesses handle personal information and this includes the Licensee </w:t>
      </w:r>
      <w:r>
        <w:rPr>
          <w:rFonts w:ascii="Arial" w:hAnsi="Arial" w:cs="Arial"/>
        </w:rPr>
        <w:t xml:space="preserve">and its representatives. </w:t>
      </w:r>
    </w:p>
    <w:p>
      <w:pPr>
        <w:spacing w:line="240" w:lineRule="auto"/>
        <w:ind w:left="851"/>
        <w:rPr>
          <w:rFonts w:ascii="Arial" w:hAnsi="Arial" w:cs="Arial"/>
        </w:rPr>
      </w:pPr>
      <w:r>
        <w:rPr>
          <w:rFonts w:ascii="Arial" w:hAnsi="Arial" w:cs="Arial"/>
        </w:rPr>
        <w:t xml:space="preserve">The Licensee acknowledges that it can be sued for a serious breach of privacy </w:t>
      </w:r>
      <w:r>
        <w:rPr>
          <w:rFonts w:ascii="Arial" w:hAnsi="Arial" w:cs="Arial"/>
        </w:rPr>
        <w:t xml:space="preserve">and has </w:t>
      </w:r>
      <w:r>
        <w:rPr>
          <w:rFonts w:ascii="Arial" w:hAnsi="Arial" w:cs="Arial"/>
        </w:rPr>
        <w:t>satisfied itself that it has taken reasonable steps to ensure it protects the information it holds</w:t>
      </w:r>
      <w:r>
        <w:rPr>
          <w:rFonts w:ascii="Arial" w:hAnsi="Arial" w:cs="Arial"/>
        </w:rPr>
        <w:t xml:space="preserve"> about its clients including </w:t>
      </w:r>
      <w:r>
        <w:rPr>
          <w:rFonts w:ascii="Arial" w:hAnsi="Arial" w:cs="Arial"/>
        </w:rPr>
        <w:t>the following:</w:t>
      </w:r>
    </w:p>
    <w:p w14:paraId="413ED338" w14:textId="07A37EC7">
      <w:pPr>
        <w:pStyle w:val="ListParagraph"/>
        <w:numPr>
          <w:ilvl w:val="0"/>
          <w:numId w:val="6"/>
        </w:numPr>
        <w:spacing w:line="360" w:lineRule="auto"/>
        <w:ind w:left="1418" w:hanging="567"/>
        <w:rPr>
          <w:rFonts w:ascii="Arial" w:hAnsi="Arial" w:cs="Arial"/>
        </w:rPr>
      </w:pPr>
      <w:r>
        <w:rPr>
          <w:rFonts w:ascii="Arial" w:hAnsi="Arial" w:cs="Arial"/>
        </w:rPr>
        <w:t xml:space="preserve">Auditing </w:t>
      </w:r>
      <w:r>
        <w:rPr>
          <w:rFonts w:ascii="Arial" w:hAnsi="Arial" w:cs="Arial"/>
        </w:rPr>
        <w:t>its</w:t>
      </w:r>
      <w:r>
        <w:rPr>
          <w:rFonts w:ascii="Arial" w:hAnsi="Arial" w:cs="Arial"/>
        </w:rPr>
        <w:t xml:space="preserve"> data collection and storage practices;</w:t>
      </w:r>
    </w:p>
    <w:p>
      <w:pPr>
        <w:pStyle w:val="ListParagraph"/>
        <w:numPr>
          <w:ilvl w:val="0"/>
          <w:numId w:val="6"/>
        </w:numPr>
        <w:spacing w:line="360" w:lineRule="auto"/>
        <w:ind w:left="1418" w:hanging="567"/>
        <w:rPr>
          <w:rFonts w:ascii="Arial" w:hAnsi="Arial" w:cs="Arial"/>
        </w:rPr>
      </w:pPr>
      <w:r>
        <w:rPr>
          <w:rFonts w:ascii="Arial" w:hAnsi="Arial" w:cs="Arial"/>
        </w:rPr>
        <w:t>Implementing stronger cybersecurity protections;</w:t>
      </w:r>
    </w:p>
    <w:p>
      <w:pPr>
        <w:pStyle w:val="ListParagraph"/>
        <w:numPr>
          <w:ilvl w:val="0"/>
          <w:numId w:val="6"/>
        </w:numPr>
        <w:spacing w:line="360" w:lineRule="auto"/>
        <w:ind w:left="1418" w:hanging="567"/>
        <w:rPr>
          <w:rFonts w:ascii="Arial" w:hAnsi="Arial" w:cs="Arial"/>
        </w:rPr>
      </w:pPr>
      <w:r>
        <w:rPr>
          <w:rFonts w:ascii="Arial" w:hAnsi="Arial" w:cs="Arial"/>
        </w:rPr>
        <w:t>Provided t</w:t>
      </w:r>
      <w:r>
        <w:rPr>
          <w:rFonts w:ascii="Arial" w:hAnsi="Arial" w:cs="Arial"/>
        </w:rPr>
        <w:t>raining</w:t>
      </w:r>
      <w:r>
        <w:rPr>
          <w:rFonts w:ascii="Arial" w:hAnsi="Arial" w:cs="Arial"/>
        </w:rPr>
        <w:t xml:space="preserve"> to</w:t>
      </w:r>
      <w:r>
        <w:rPr>
          <w:rFonts w:ascii="Arial" w:hAnsi="Arial" w:cs="Arial"/>
        </w:rPr>
        <w:t xml:space="preserve"> staff on privacy risks, doxxing laws, and breach response;</w:t>
      </w:r>
    </w:p>
    <w:p>
      <w:pPr>
        <w:pStyle w:val="ListParagraph"/>
        <w:numPr>
          <w:ilvl w:val="0"/>
          <w:numId w:val="6"/>
        </w:numPr>
        <w:spacing w:line="360" w:lineRule="auto"/>
        <w:ind w:left="1418" w:hanging="567"/>
        <w:rPr>
          <w:rFonts w:ascii="Arial" w:hAnsi="Arial" w:cs="Arial"/>
        </w:rPr>
      </w:pPr>
      <w:r>
        <w:rPr>
          <w:rFonts w:ascii="Arial" w:hAnsi="Arial" w:cs="Arial"/>
        </w:rPr>
        <w:t>Reviewing contracts with suppliers and service providers who handle data;</w:t>
      </w:r>
    </w:p>
    <w:p>
      <w:pPr>
        <w:pStyle w:val="ListParagraph"/>
        <w:numPr>
          <w:ilvl w:val="0"/>
          <w:numId w:val="6"/>
        </w:numPr>
        <w:ind w:left="1418" w:hanging="567"/>
        <w:rPr>
          <w:rFonts w:ascii="Arial" w:hAnsi="Arial" w:cs="Arial"/>
        </w:rPr>
      </w:pPr>
      <w:r>
        <w:rPr>
          <w:rFonts w:ascii="Arial" w:hAnsi="Arial" w:cs="Arial"/>
        </w:rPr>
        <w:t>Updat</w:t>
      </w:r>
      <w:r>
        <w:rPr>
          <w:rFonts w:ascii="Arial" w:hAnsi="Arial" w:cs="Arial"/>
        </w:rPr>
        <w:t>ed</w:t>
      </w:r>
      <w:r>
        <w:rPr>
          <w:rFonts w:ascii="Arial" w:hAnsi="Arial" w:cs="Arial"/>
        </w:rPr>
        <w:t xml:space="preserve"> </w:t>
      </w:r>
      <w:r>
        <w:rPr>
          <w:rFonts w:ascii="Arial" w:hAnsi="Arial" w:cs="Arial"/>
        </w:rPr>
        <w:t>its</w:t>
      </w:r>
      <w:r>
        <w:rPr>
          <w:rFonts w:ascii="Arial" w:hAnsi="Arial" w:cs="Arial"/>
        </w:rPr>
        <w:t xml:space="preserve"> Data Breach Response Plan</w:t>
      </w:r>
      <w:r>
        <w:rPr>
          <w:rFonts w:ascii="Arial" w:hAnsi="Arial" w:cs="Arial"/>
        </w:rPr>
        <w:t xml:space="preserve"> to reflect </w:t>
      </w:r>
      <w:r>
        <w:rPr>
          <w:rFonts w:ascii="Arial" w:hAnsi="Arial" w:cs="Arial"/>
        </w:rPr>
        <w:t xml:space="preserve">timely notification under the </w:t>
      </w:r>
      <w:r>
        <w:rPr>
          <w:rFonts w:ascii="Arial" w:hAnsi="Arial" w:cs="Arial"/>
          <w:i/>
          <w:iCs/>
        </w:rPr>
        <w:t>Notifiable Data Breach</w:t>
      </w:r>
      <w:r>
        <w:rPr>
          <w:rFonts w:ascii="Arial" w:hAnsi="Arial" w:cs="Arial"/>
          <w:i/>
          <w:iCs/>
        </w:rPr>
        <w:t xml:space="preserve">es </w:t>
      </w:r>
      <w:r>
        <w:rPr>
          <w:rFonts w:ascii="Arial" w:hAnsi="Arial" w:cs="Arial"/>
        </w:rPr>
        <w:t>(</w:t>
      </w:r>
      <w:r>
        <w:rPr>
          <w:rFonts w:ascii="Arial" w:hAnsi="Arial" w:cs="Arial"/>
          <w:b/>
          <w:bCs/>
        </w:rPr>
        <w:t>NDB</w:t>
      </w:r>
      <w:r>
        <w:rPr>
          <w:rFonts w:ascii="Arial" w:hAnsi="Arial" w:cs="Arial"/>
        </w:rPr>
        <w:t>)</w:t>
      </w:r>
      <w:r>
        <w:rPr>
          <w:rFonts w:ascii="Arial" w:hAnsi="Arial" w:cs="Arial"/>
        </w:rPr>
        <w:t xml:space="preserve"> scheme</w:t>
      </w:r>
      <w:r>
        <w:rPr>
          <w:rFonts w:ascii="Arial" w:hAnsi="Arial" w:cs="Arial"/>
        </w:rPr>
        <w:t>; and</w:t>
      </w:r>
    </w:p>
    <w:p>
      <w:pPr>
        <w:pStyle w:val="ListParagraph"/>
        <w:ind w:left="1418" w:firstLine="0"/>
        <w:rPr>
          <w:rFonts w:ascii="Arial" w:hAnsi="Arial" w:cs="Arial"/>
        </w:rPr>
      </w:pPr>
    </w:p>
    <w:p>
      <w:pPr>
        <w:pStyle w:val="ListParagraph"/>
        <w:numPr>
          <w:ilvl w:val="0"/>
          <w:numId w:val="6"/>
        </w:numPr>
        <w:spacing w:line="360" w:lineRule="auto"/>
        <w:ind w:left="1418" w:hanging="567"/>
        <w:rPr>
          <w:rFonts w:ascii="Arial" w:hAnsi="Arial" w:cs="Arial"/>
        </w:rPr>
      </w:pPr>
      <w:r>
        <w:rPr>
          <w:rFonts w:ascii="Arial" w:hAnsi="Arial" w:cs="Arial"/>
        </w:rPr>
        <w:t>Updated its risk management and controls.</w:t>
      </w:r>
    </w:p>
    <w:p>
      <w:pPr>
        <w:pStyle w:val="Heading3"/>
        <w:spacing w:line="360" w:lineRule="auto"/>
      </w:pPr>
      <w:bookmarkStart w:id="18" w:name="_Toc208993576"/>
      <w:r>
        <w:t>5.6</w:t>
      </w:r>
      <w:r>
        <w:tab/>
        <w:t>Enhanced Consent</w:t>
      </w:r>
      <w:bookmarkEnd w:id="18"/>
      <w:r>
        <w:t xml:space="preserve"> </w:t>
      </w:r>
    </w:p>
    <w:p>
      <w:pPr>
        <w:spacing w:after="0" w:line="240" w:lineRule="auto"/>
        <w:ind w:left="851"/>
        <w:rPr>
          <w:rFonts w:ascii="Arial" w:hAnsi="Arial" w:cs="Arial"/>
        </w:rPr>
      </w:pPr>
      <w:r>
        <w:rPr>
          <w:rFonts w:ascii="Arial" w:hAnsi="Arial" w:cs="Arial"/>
        </w:rPr>
        <w:t xml:space="preserve">As part of this policy the Licensee acknowledges that </w:t>
      </w:r>
      <w:r>
        <w:rPr>
          <w:rFonts w:ascii="Arial" w:hAnsi="Arial" w:cs="Arial"/>
        </w:rPr>
        <w:t>consent with this policy by its clients must be voluntary, informed, current, specific, unambig</w:t>
      </w:r>
      <w:r>
        <w:rPr>
          <w:rFonts w:ascii="Arial" w:hAnsi="Arial" w:cs="Arial"/>
        </w:rPr>
        <w:t>uous and easily withdrawn</w:t>
      </w:r>
      <w:r>
        <w:rPr>
          <w:rFonts w:ascii="Arial" w:hAnsi="Arial" w:cs="Arial"/>
        </w:rPr>
        <w:t>.</w:t>
      </w:r>
      <w:r>
        <w:rPr>
          <w:rFonts w:ascii="Arial" w:hAnsi="Arial" w:cs="Arial"/>
        </w:rPr>
        <w:t xml:space="preserve"> </w:t>
      </w:r>
      <w:r>
        <w:rPr>
          <w:rFonts w:ascii="Arial" w:hAnsi="Arial" w:cs="Arial"/>
        </w:rPr>
        <w:t>The Licensee can provide this policy to our clients in a number of ways, for example, referring clients to our website, emailing the policy to our clients or including a link to the policy in other documents, for example our finan</w:t>
      </w:r>
      <w:r>
        <w:rPr>
          <w:rFonts w:ascii="Arial" w:hAnsi="Arial" w:cs="Arial"/>
        </w:rPr>
        <w:t xml:space="preserve">cial services guide. </w:t>
      </w:r>
    </w:p>
    <w:p>
      <w:pPr>
        <w:spacing w:after="0"/>
        <w:ind w:left="851"/>
        <w:rPr>
          <w:rFonts w:ascii="Arial" w:hAnsi="Arial" w:cs="Arial"/>
          <w:color w:val="FF0000"/>
        </w:rPr>
      </w:pPr>
    </w:p>
    <w:p>
      <w:pPr>
        <w:pStyle w:val="Heading3"/>
        <w:spacing w:line="360" w:lineRule="auto"/>
      </w:pPr>
      <w:bookmarkStart w:id="19" w:name="_Toc208993577"/>
      <w:r>
        <w:t>5.7</w:t>
      </w:r>
      <w:r>
        <w:tab/>
        <w:t>Right to be forgotten</w:t>
      </w:r>
      <w:bookmarkEnd w:id="19"/>
      <w:r>
        <w:t xml:space="preserve"> </w:t>
      </w:r>
    </w:p>
    <w:p>
      <w:pPr>
        <w:spacing w:line="240" w:lineRule="auto"/>
        <w:ind w:left="851"/>
        <w:rPr>
          <w:rFonts w:ascii="Arial" w:hAnsi="Arial" w:cs="Arial"/>
        </w:rPr>
      </w:pPr>
      <w:r>
        <w:rPr>
          <w:rFonts w:ascii="Arial" w:hAnsi="Arial" w:cs="Arial"/>
        </w:rPr>
        <w:t xml:space="preserve">The Licensee acknowledges that </w:t>
      </w:r>
      <w:r>
        <w:rPr>
          <w:rFonts w:ascii="Arial" w:hAnsi="Arial" w:cs="Arial"/>
        </w:rPr>
        <w:t xml:space="preserve">clients should be informed of their right to be forgotten, specifically that they can request the deletion of their personal data </w:t>
      </w:r>
      <w:r>
        <w:rPr>
          <w:rFonts w:ascii="Arial" w:hAnsi="Arial" w:cs="Arial"/>
        </w:rPr>
        <w:t xml:space="preserve">when the data is no longer necessary for the purposes of which it was </w:t>
      </w:r>
      <w:r>
        <w:rPr>
          <w:rFonts w:ascii="Arial" w:hAnsi="Arial" w:cs="Arial"/>
        </w:rPr>
        <w:t xml:space="preserve">collected, and consent has been withdrawn, or the data was not lawfully collected. </w:t>
      </w:r>
      <w:r>
        <w:rPr>
          <w:rFonts w:ascii="Arial" w:hAnsi="Arial" w:cs="Arial"/>
        </w:rPr>
        <w:t xml:space="preserve">The Licensee must balance this </w:t>
      </w:r>
      <w:r>
        <w:rPr>
          <w:rFonts w:ascii="Arial" w:hAnsi="Arial" w:cs="Arial"/>
        </w:rPr>
        <w:t xml:space="preserve">right out with the record keeping obligation on the AFSL which includes keeping advice documents and materials used to produce advice for </w:t>
      </w:r>
      <w:r>
        <w:rPr>
          <w:rFonts w:ascii="Arial" w:hAnsi="Arial" w:cs="Arial"/>
        </w:rPr>
        <w:t xml:space="preserve">a minimum of 7 years as per ASIC Pro Forma 209. </w:t>
      </w:r>
    </w:p>
    <w:p>
      <w:pPr>
        <w:pStyle w:val="Heading3"/>
        <w:spacing w:line="360" w:lineRule="auto"/>
      </w:pPr>
      <w:bookmarkStart w:id="20" w:name="_Toc208993578"/>
      <w:r>
        <w:t>5.8</w:t>
      </w:r>
      <w:r>
        <w:tab/>
      </w:r>
      <w:r>
        <w:t>Transparency in Automated Decision Making</w:t>
      </w:r>
      <w:bookmarkEnd w:id="20"/>
      <w:r>
        <w:t xml:space="preserve"> </w:t>
      </w:r>
    </w:p>
    <w:p>
      <w:pPr>
        <w:spacing w:line="240" w:lineRule="auto"/>
        <w:ind w:left="851"/>
        <w:rPr>
          <w:rFonts w:ascii="Arial" w:hAnsi="Arial" w:cs="Arial"/>
        </w:rPr>
      </w:pPr>
      <w:r>
        <w:rPr>
          <w:rFonts w:ascii="Arial" w:hAnsi="Arial" w:cs="Arial"/>
        </w:rPr>
        <w:t>Automated decision-making (</w:t>
      </w:r>
      <w:r>
        <w:rPr>
          <w:rFonts w:ascii="Arial" w:hAnsi="Arial" w:cs="Arial"/>
          <w:b/>
          <w:bCs/>
        </w:rPr>
        <w:t>ADM</w:t>
      </w:r>
      <w:r>
        <w:rPr>
          <w:rFonts w:ascii="Arial" w:hAnsi="Arial" w:cs="Arial"/>
        </w:rPr>
        <w:t>) involves using data, machines, and algorithms to make decisions across various contexts such as public administration, business, health, education, law, employment, transport, media, and entertainment. If the Licensee uses ADM, it will notify its clients accordingly as well as the significance and</w:t>
      </w:r>
      <w:r>
        <w:rPr>
          <w:rFonts w:ascii="Arial" w:hAnsi="Arial" w:cs="Arial"/>
        </w:rPr>
        <w:t xml:space="preserve"> potential</w:t>
      </w:r>
      <w:r>
        <w:rPr>
          <w:rFonts w:ascii="Arial" w:hAnsi="Arial" w:cs="Arial"/>
        </w:rPr>
        <w:t xml:space="preserve"> consequences </w:t>
      </w:r>
      <w:r>
        <w:rPr>
          <w:rFonts w:ascii="Arial" w:hAnsi="Arial" w:cs="Arial"/>
        </w:rPr>
        <w:t>for individuals.</w:t>
      </w:r>
    </w:p>
    <w:p>
      <w:pPr>
        <w:pStyle w:val="Heading3"/>
        <w:spacing w:line="360" w:lineRule="auto"/>
      </w:pPr>
      <w:bookmarkStart w:id="21" w:name="_Toc208993579"/>
      <w:r>
        <w:t>5.9</w:t>
      </w:r>
      <w:r>
        <w:tab/>
        <w:t>Overseas Data Transfers</w:t>
      </w:r>
      <w:bookmarkEnd w:id="21"/>
    </w:p>
    <w:p>
      <w:pPr>
        <w:spacing w:line="240" w:lineRule="auto"/>
        <w:ind w:left="851"/>
        <w:rPr>
          <w:rFonts w:ascii="Arial" w:hAnsi="Arial" w:cs="Arial"/>
        </w:rPr>
      </w:pPr>
      <w:r>
        <w:rPr>
          <w:rFonts w:ascii="Arial" w:hAnsi="Arial" w:cs="Arial"/>
        </w:rPr>
        <w:t>Where the licensee transfers data overseas and discloses personal information to overseas recipients,</w:t>
      </w:r>
      <w:r>
        <w:rPr>
          <w:rFonts w:ascii="Arial" w:hAnsi="Arial" w:cs="Arial"/>
        </w:rPr>
        <w:t xml:space="preserve"> </w:t>
      </w:r>
      <w:r>
        <w:rPr>
          <w:rFonts w:ascii="Arial" w:hAnsi="Arial" w:cs="Arial"/>
        </w:rPr>
        <w:t>the L</w:t>
      </w:r>
      <w:r>
        <w:rPr>
          <w:rFonts w:ascii="Arial" w:hAnsi="Arial" w:cs="Arial"/>
        </w:rPr>
        <w:t xml:space="preserve">icensee will spell out </w:t>
      </w:r>
      <w:r>
        <w:rPr>
          <w:rFonts w:ascii="Arial" w:hAnsi="Arial" w:cs="Arial"/>
        </w:rPr>
        <w:t xml:space="preserve">the countries where recipients are located. </w:t>
      </w:r>
      <w:r>
        <w:rPr>
          <w:rFonts w:ascii="Arial" w:hAnsi="Arial" w:cs="Arial"/>
        </w:rPr>
        <w:t xml:space="preserve">The Licensee has </w:t>
      </w:r>
      <w:r>
        <w:rPr>
          <w:rFonts w:ascii="Arial" w:hAnsi="Arial" w:cs="Arial"/>
        </w:rPr>
        <w:t>t</w:t>
      </w:r>
      <w:r>
        <w:rPr>
          <w:rFonts w:ascii="Arial" w:hAnsi="Arial" w:cs="Arial"/>
        </w:rPr>
        <w:t>aken</w:t>
      </w:r>
      <w:r>
        <w:rPr>
          <w:rFonts w:ascii="Arial" w:hAnsi="Arial" w:cs="Arial"/>
        </w:rPr>
        <w:t xml:space="preserve"> measures to ensure these recipients comply with </w:t>
      </w:r>
      <w:r>
        <w:rPr>
          <w:rFonts w:ascii="Arial" w:hAnsi="Arial" w:cs="Arial"/>
        </w:rPr>
        <w:lastRenderedPageBreak/>
        <w:t>the Australian Privacy Principles (APPs and inform individuals of their rights concerning overseas disclosures</w:t>
      </w:r>
      <w:r>
        <w:rPr>
          <w:rFonts w:ascii="Arial" w:hAnsi="Arial" w:cs="Arial"/>
        </w:rPr>
        <w:t>).</w:t>
      </w:r>
      <w:r>
        <w:rPr>
          <w:rFonts w:ascii="Arial" w:hAnsi="Arial" w:cs="Arial"/>
        </w:rPr>
        <w:t xml:space="preserve"> </w:t>
      </w:r>
      <w:r>
        <w:rPr>
          <w:rFonts w:ascii="Arial" w:hAnsi="Arial" w:cs="Arial"/>
        </w:rPr>
        <w:t>T</w:t>
      </w:r>
      <w:r>
        <w:rPr>
          <w:rFonts w:ascii="Arial" w:hAnsi="Arial" w:cs="Arial"/>
        </w:rPr>
        <w:t xml:space="preserve">he </w:t>
      </w:r>
      <w:r>
        <w:rPr>
          <w:rFonts w:ascii="Arial" w:hAnsi="Arial" w:cs="Arial"/>
        </w:rPr>
        <w:t xml:space="preserve">steps the Licensee has taken from a due diligence perspective are </w:t>
      </w:r>
      <w:r>
        <w:rPr>
          <w:rFonts w:ascii="Arial" w:hAnsi="Arial" w:cs="Arial"/>
        </w:rPr>
        <w:t>captured</w:t>
      </w:r>
      <w:r>
        <w:rPr>
          <w:rFonts w:ascii="Arial" w:hAnsi="Arial" w:cs="Arial"/>
        </w:rPr>
        <w:t xml:space="preserve"> in the outsourcing risk register controls.</w:t>
      </w:r>
    </w:p>
    <w:p>
      <w:pPr>
        <w:ind w:left="851"/>
        <w:rPr>
          <w:rFonts w:ascii="Arial" w:hAnsi="Arial" w:cs="Arial"/>
        </w:rPr>
      </w:pPr>
      <w:r>
        <w:rPr>
          <w:rFonts w:ascii="Arial" w:hAnsi="Arial" w:cs="Arial"/>
        </w:rPr>
        <w:t xml:space="preserve">The Licensee currently </w:t>
      </w:r>
      <w:r>
        <w:rPr>
          <w:rFonts w:ascii="Arial" w:hAnsi="Arial" w:cs="Arial"/>
        </w:rPr>
        <w:t>transfers data to the Philippines.</w:t>
      </w:r>
    </w:p>
    <w:p>
      <w:pPr>
        <w:pStyle w:val="Heading3"/>
        <w:spacing w:line="360" w:lineRule="auto"/>
      </w:pPr>
      <w:bookmarkStart w:id="22" w:name="_Toc208993580"/>
      <w:r>
        <w:t>6.0</w:t>
      </w:r>
      <w:r>
        <w:tab/>
        <w:t>Data Security Measures</w:t>
      </w:r>
      <w:bookmarkEnd w:id="22"/>
    </w:p>
    <w:p>
      <w:pPr>
        <w:spacing w:line="240" w:lineRule="auto"/>
        <w:ind w:left="851"/>
        <w:rPr>
          <w:rFonts w:ascii="Arial" w:hAnsi="Arial" w:cs="Arial"/>
        </w:rPr>
      </w:pPr>
      <w:r>
        <w:rPr>
          <w:rFonts w:ascii="Arial" w:hAnsi="Arial" w:cs="Arial"/>
        </w:rPr>
        <w:t>The Licensee ha</w:t>
      </w:r>
      <w:r>
        <w:rPr>
          <w:rFonts w:ascii="Arial" w:hAnsi="Arial" w:cs="Arial"/>
        </w:rPr>
        <w:t>s impl</w:t>
      </w:r>
      <w:r>
        <w:rPr>
          <w:rFonts w:ascii="Arial" w:hAnsi="Arial" w:cs="Arial"/>
        </w:rPr>
        <w:t>emented</w:t>
      </w:r>
      <w:r>
        <w:rPr>
          <w:rFonts w:ascii="Arial" w:hAnsi="Arial" w:cs="Arial"/>
        </w:rPr>
        <w:t xml:space="preserve"> the following</w:t>
      </w:r>
      <w:r>
        <w:rPr>
          <w:rFonts w:ascii="Arial" w:hAnsi="Arial" w:cs="Arial"/>
        </w:rPr>
        <w:t xml:space="preserve"> steps to protect personal information from misuse, interference, loss, unauthorised access, modification and disclosure</w:t>
      </w:r>
      <w:r>
        <w:rPr>
          <w:rFonts w:ascii="Arial" w:hAnsi="Arial" w:cs="Arial"/>
        </w:rPr>
        <w:t>:</w:t>
      </w:r>
    </w:p>
    <w:p>
      <w:pPr>
        <w:pStyle w:val="ListParagraph"/>
        <w:numPr>
          <w:ilvl w:val="0"/>
          <w:numId w:val="17"/>
        </w:numPr>
        <w:spacing w:line="360" w:lineRule="auto"/>
        <w:ind w:left="1418" w:hanging="567"/>
        <w:rPr>
          <w:rFonts w:ascii="Arial" w:hAnsi="Arial" w:cs="Arial"/>
        </w:rPr>
      </w:pPr>
      <w:r>
        <w:rPr>
          <w:rFonts w:ascii="Arial" w:hAnsi="Arial" w:cs="Arial"/>
        </w:rPr>
        <w:t>Regular staff training and discussion of incidents at team meetings</w:t>
      </w:r>
      <w:r>
        <w:rPr>
          <w:rFonts w:ascii="Arial" w:hAnsi="Arial" w:cs="Arial"/>
        </w:rPr>
        <w:t>.</w:t>
      </w:r>
      <w:r>
        <w:rPr>
          <w:rFonts w:ascii="Arial" w:hAnsi="Arial" w:cs="Arial"/>
        </w:rPr>
        <w:t xml:space="preserve"> </w:t>
      </w:r>
    </w:p>
    <w:p>
      <w:pPr>
        <w:pStyle w:val="ListParagraph"/>
        <w:numPr>
          <w:ilvl w:val="0"/>
          <w:numId w:val="17"/>
        </w:numPr>
        <w:spacing w:line="360" w:lineRule="auto"/>
        <w:ind w:left="1418" w:hanging="567"/>
        <w:rPr>
          <w:rFonts w:ascii="Arial" w:hAnsi="Arial" w:cs="Arial"/>
        </w:rPr>
      </w:pPr>
      <w:r>
        <w:rPr>
          <w:rFonts w:ascii="Arial" w:hAnsi="Arial" w:cs="Arial"/>
        </w:rPr>
        <w:t>Adopted a Data Breach Response Plan</w:t>
      </w:r>
      <w:r>
        <w:rPr>
          <w:rFonts w:ascii="Arial" w:hAnsi="Arial" w:cs="Arial"/>
        </w:rPr>
        <w:t>.</w:t>
      </w:r>
    </w:p>
    <w:p>
      <w:pPr>
        <w:pStyle w:val="ListParagraph"/>
        <w:numPr>
          <w:ilvl w:val="0"/>
          <w:numId w:val="17"/>
        </w:numPr>
        <w:spacing w:line="360" w:lineRule="auto"/>
        <w:ind w:left="1418" w:hanging="567"/>
        <w:rPr>
          <w:rFonts w:ascii="Arial" w:hAnsi="Arial" w:cs="Arial"/>
        </w:rPr>
      </w:pPr>
      <w:r>
        <w:rPr>
          <w:rFonts w:ascii="Arial" w:hAnsi="Arial" w:cs="Arial"/>
        </w:rPr>
        <w:t>Regular testing</w:t>
      </w:r>
      <w:r>
        <w:rPr>
          <w:rFonts w:ascii="Arial" w:hAnsi="Arial" w:cs="Arial"/>
        </w:rPr>
        <w:t xml:space="preserve"> and review</w:t>
      </w:r>
      <w:r>
        <w:rPr>
          <w:rFonts w:ascii="Arial" w:hAnsi="Arial" w:cs="Arial"/>
        </w:rPr>
        <w:t xml:space="preserve"> of the Data Breach Response Plan</w:t>
      </w:r>
      <w:r>
        <w:rPr>
          <w:rFonts w:ascii="Arial" w:hAnsi="Arial" w:cs="Arial"/>
        </w:rPr>
        <w:t>.</w:t>
      </w:r>
    </w:p>
    <w:p>
      <w:pPr>
        <w:pStyle w:val="ListParagraph"/>
        <w:numPr>
          <w:ilvl w:val="0"/>
          <w:numId w:val="17"/>
        </w:numPr>
        <w:spacing w:line="360" w:lineRule="auto"/>
        <w:ind w:left="1418" w:hanging="567"/>
        <w:rPr>
          <w:rFonts w:ascii="Arial" w:hAnsi="Arial" w:cs="Arial"/>
        </w:rPr>
      </w:pPr>
      <w:r>
        <w:rPr>
          <w:rFonts w:ascii="Arial" w:hAnsi="Arial" w:cs="Arial"/>
        </w:rPr>
        <w:t xml:space="preserve">Due diligence of </w:t>
      </w:r>
      <w:r>
        <w:rPr>
          <w:rFonts w:ascii="Arial" w:hAnsi="Arial" w:cs="Arial"/>
        </w:rPr>
        <w:t>third-party</w:t>
      </w:r>
      <w:r>
        <w:rPr>
          <w:rFonts w:ascii="Arial" w:hAnsi="Arial" w:cs="Arial"/>
        </w:rPr>
        <w:t xml:space="preserve"> providers who hold our client data</w:t>
      </w:r>
      <w:r>
        <w:rPr>
          <w:rFonts w:ascii="Arial" w:hAnsi="Arial" w:cs="Arial"/>
        </w:rPr>
        <w:t>.</w:t>
      </w:r>
    </w:p>
    <w:p>
      <w:pPr>
        <w:pStyle w:val="ListParagraph"/>
        <w:numPr>
          <w:ilvl w:val="0"/>
          <w:numId w:val="17"/>
        </w:numPr>
        <w:ind w:left="1418" w:hanging="567"/>
        <w:rPr>
          <w:rFonts w:ascii="Arial" w:hAnsi="Arial" w:cs="Arial"/>
        </w:rPr>
      </w:pPr>
      <w:r>
        <w:rPr>
          <w:rFonts w:ascii="Arial" w:hAnsi="Arial" w:cs="Arial"/>
        </w:rPr>
        <w:t>Adoption</w:t>
      </w:r>
      <w:r>
        <w:rPr>
          <w:rFonts w:ascii="Arial" w:hAnsi="Arial" w:cs="Arial"/>
        </w:rPr>
        <w:t xml:space="preserve"> and regular review</w:t>
      </w:r>
      <w:r>
        <w:rPr>
          <w:rFonts w:ascii="Arial" w:hAnsi="Arial" w:cs="Arial"/>
        </w:rPr>
        <w:t xml:space="preserve"> of systems</w:t>
      </w:r>
      <w:r>
        <w:rPr>
          <w:rFonts w:ascii="Arial" w:hAnsi="Arial" w:cs="Arial"/>
        </w:rPr>
        <w:t xml:space="preserve"> and frameworks</w:t>
      </w:r>
      <w:r>
        <w:rPr>
          <w:rFonts w:ascii="Arial" w:hAnsi="Arial" w:cs="Arial"/>
        </w:rPr>
        <w:t xml:space="preserve"> to </w:t>
      </w:r>
      <w:r>
        <w:rPr>
          <w:rFonts w:ascii="Arial" w:hAnsi="Arial" w:cs="Arial"/>
        </w:rPr>
        <w:t>p</w:t>
      </w:r>
      <w:r>
        <w:rPr>
          <w:rFonts w:ascii="Arial" w:hAnsi="Arial" w:cs="Arial"/>
        </w:rPr>
        <w:t xml:space="preserve">rotect </w:t>
      </w:r>
      <w:r>
        <w:rPr>
          <w:rFonts w:ascii="Arial" w:hAnsi="Arial" w:cs="Arial"/>
        </w:rPr>
        <w:t>c</w:t>
      </w:r>
      <w:r>
        <w:rPr>
          <w:rFonts w:ascii="Arial" w:hAnsi="Arial" w:cs="Arial"/>
        </w:rPr>
        <w:t xml:space="preserve">loud </w:t>
      </w:r>
      <w:r>
        <w:rPr>
          <w:rFonts w:ascii="Arial" w:hAnsi="Arial" w:cs="Arial"/>
        </w:rPr>
        <w:t>a</w:t>
      </w:r>
      <w:r>
        <w:rPr>
          <w:rFonts w:ascii="Arial" w:hAnsi="Arial" w:cs="Arial"/>
        </w:rPr>
        <w:t xml:space="preserve">pplications and </w:t>
      </w:r>
      <w:r>
        <w:rPr>
          <w:rFonts w:ascii="Arial" w:hAnsi="Arial" w:cs="Arial"/>
        </w:rPr>
        <w:t>d</w:t>
      </w:r>
      <w:r>
        <w:rPr>
          <w:rFonts w:ascii="Arial" w:hAnsi="Arial" w:cs="Arial"/>
        </w:rPr>
        <w:t>evices</w:t>
      </w:r>
      <w:r>
        <w:rPr>
          <w:rFonts w:ascii="Arial" w:hAnsi="Arial" w:cs="Arial"/>
        </w:rPr>
        <w:t xml:space="preserve"> </w:t>
      </w:r>
      <w:r>
        <w:rPr>
          <w:rFonts w:ascii="Arial" w:hAnsi="Arial" w:cs="Arial"/>
        </w:rPr>
        <w:t>from data breaches</w:t>
      </w:r>
      <w:r>
        <w:rPr>
          <w:rFonts w:ascii="Arial" w:hAnsi="Arial" w:cs="Arial"/>
        </w:rPr>
        <w:t>.</w:t>
      </w:r>
    </w:p>
    <w:p>
      <w:pPr>
        <w:pStyle w:val="ListParagraph"/>
        <w:ind w:left="1418" w:firstLine="0"/>
        <w:rPr>
          <w:rFonts w:ascii="Arial" w:hAnsi="Arial" w:cs="Arial"/>
        </w:rPr>
      </w:pPr>
    </w:p>
    <w:p>
      <w:pPr>
        <w:pStyle w:val="ListParagraph"/>
        <w:numPr>
          <w:ilvl w:val="0"/>
          <w:numId w:val="17"/>
        </w:numPr>
        <w:ind w:left="1418" w:hanging="567"/>
        <w:rPr>
          <w:rFonts w:ascii="Arial" w:hAnsi="Arial" w:cs="Arial"/>
        </w:rPr>
      </w:pPr>
      <w:r>
        <w:rPr>
          <w:rFonts w:ascii="Arial" w:hAnsi="Arial" w:cs="Arial"/>
        </w:rPr>
        <w:t>E</w:t>
      </w:r>
      <w:r>
        <w:rPr>
          <w:rFonts w:ascii="Arial" w:hAnsi="Arial" w:cs="Arial"/>
        </w:rPr>
        <w:t>mploy</w:t>
      </w:r>
      <w:r>
        <w:rPr>
          <w:rFonts w:ascii="Arial" w:hAnsi="Arial" w:cs="Arial"/>
        </w:rPr>
        <w:t>s staff</w:t>
      </w:r>
      <w:r>
        <w:rPr>
          <w:rFonts w:ascii="Arial" w:hAnsi="Arial" w:cs="Arial"/>
        </w:rPr>
        <w:t xml:space="preserve"> and engages outsourced providers</w:t>
      </w:r>
      <w:r>
        <w:rPr>
          <w:rFonts w:ascii="Arial" w:hAnsi="Arial" w:cs="Arial"/>
        </w:rPr>
        <w:t xml:space="preserve"> with specialised expertise or experience in data breach</w:t>
      </w:r>
      <w:r>
        <w:rPr>
          <w:rFonts w:ascii="Arial" w:hAnsi="Arial" w:cs="Arial"/>
        </w:rPr>
        <w:t xml:space="preserve"> prevention and</w:t>
      </w:r>
      <w:r>
        <w:rPr>
          <w:rFonts w:ascii="Arial" w:hAnsi="Arial" w:cs="Arial"/>
        </w:rPr>
        <w:t xml:space="preserve"> response or engaging a consultant with appropriate expertise to assist with the development of </w:t>
      </w:r>
      <w:r>
        <w:rPr>
          <w:rFonts w:ascii="Arial" w:hAnsi="Arial" w:cs="Arial"/>
        </w:rPr>
        <w:t>it's a data breach response</w:t>
      </w:r>
      <w:r>
        <w:rPr>
          <w:rFonts w:ascii="Arial" w:hAnsi="Arial" w:cs="Arial"/>
        </w:rPr>
        <w:t xml:space="preserve"> prevention and response</w:t>
      </w:r>
      <w:r>
        <w:rPr>
          <w:rFonts w:ascii="Arial" w:hAnsi="Arial" w:cs="Arial"/>
        </w:rPr>
        <w:t>.</w:t>
      </w:r>
    </w:p>
    <w:p>
      <w:pPr>
        <w:pStyle w:val="ListParagraph"/>
        <w:rPr>
          <w:rFonts w:ascii="Arial" w:hAnsi="Arial" w:cs="Arial"/>
        </w:rPr>
      </w:pPr>
    </w:p>
    <w:p>
      <w:pPr>
        <w:pStyle w:val="ListParagraph"/>
        <w:numPr>
          <w:ilvl w:val="0"/>
          <w:numId w:val="17"/>
        </w:numPr>
        <w:ind w:left="1418" w:hanging="567"/>
        <w:rPr>
          <w:rFonts w:ascii="Arial" w:hAnsi="Arial" w:cs="Arial"/>
        </w:rPr>
      </w:pPr>
      <w:r>
        <w:rPr>
          <w:rFonts w:ascii="Arial" w:hAnsi="Arial" w:cs="Arial"/>
        </w:rPr>
        <w:t>Adopt</w:t>
      </w:r>
      <w:r>
        <w:rPr>
          <w:rFonts w:ascii="Arial" w:hAnsi="Arial" w:cs="Arial"/>
        </w:rPr>
        <w:t>ion of a risk assessment and framework to identify, measure and treat data breaches.</w:t>
      </w:r>
    </w:p>
    <w:p>
      <w:pPr>
        <w:rPr>
          <w:rFonts w:ascii="Arial" w:hAnsi="Arial" w:cs="Arial"/>
          <w:color w:val="FF0000"/>
        </w:rPr>
      </w:pPr>
    </w:p>
    <w:p>
      <w:pPr>
        <w:pStyle w:val="Heading3"/>
        <w:spacing w:line="360" w:lineRule="auto"/>
      </w:pPr>
      <w:bookmarkStart w:id="23" w:name="_Toc208993581"/>
      <w:r>
        <w:t>6.1</w:t>
      </w:r>
      <w:r>
        <w:tab/>
      </w:r>
      <w:r>
        <w:t>Notifiable Data Breaches (NDB) Scheme</w:t>
      </w:r>
      <w:bookmarkEnd w:id="23"/>
    </w:p>
    <w:p>
      <w:pPr>
        <w:pStyle w:val="ListParagraph"/>
        <w:numPr>
          <w:ilvl w:val="0"/>
          <w:numId w:val="22"/>
        </w:numPr>
        <w:ind w:left="1208" w:hanging="357"/>
        <w:rPr>
          <w:rFonts w:ascii="Arial" w:hAnsi="Arial" w:cs="Arial"/>
        </w:rPr>
      </w:pPr>
      <w:r>
        <w:rPr>
          <w:rFonts w:ascii="Arial" w:hAnsi="Arial" w:cs="Arial"/>
        </w:rPr>
        <w:t>The Licensee has procedures in place for detecting and responding to data breaches including a Data Breach Response Plan which provides examples of data breaches and what is reportable and what is not as part of its Data Breach Response Plan.</w:t>
      </w:r>
    </w:p>
    <w:p w14:paraId="05987492" w14:textId="77777777">
      <w:pPr>
        <w:pStyle w:val="ListParagraph"/>
        <w:ind w:left="1208" w:firstLine="0"/>
        <w:rPr>
          <w:rFonts w:ascii="Arial" w:hAnsi="Arial" w:cs="Arial"/>
        </w:rPr>
      </w:pPr>
    </w:p>
    <w:p>
      <w:pPr>
        <w:pStyle w:val="ListParagraph"/>
        <w:numPr>
          <w:ilvl w:val="0"/>
          <w:numId w:val="22"/>
        </w:numPr>
        <w:ind w:left="1208" w:hanging="357"/>
        <w:rPr>
          <w:rFonts w:ascii="Arial" w:hAnsi="Arial" w:cs="Arial"/>
        </w:rPr>
      </w:pPr>
      <w:r>
        <w:rPr>
          <w:rFonts w:ascii="Arial" w:hAnsi="Arial" w:cs="Arial"/>
        </w:rPr>
        <w:t>The</w:t>
      </w:r>
      <w:r>
        <w:rPr>
          <w:rFonts w:ascii="Arial" w:hAnsi="Arial" w:cs="Arial"/>
        </w:rPr>
        <w:t xml:space="preserve"> </w:t>
      </w:r>
      <w:r>
        <w:rPr>
          <w:rFonts w:ascii="Arial" w:hAnsi="Arial" w:cs="Arial"/>
        </w:rPr>
        <w:t>D</w:t>
      </w:r>
      <w:r>
        <w:rPr>
          <w:rFonts w:ascii="Arial" w:hAnsi="Arial" w:cs="Arial"/>
        </w:rPr>
        <w:t xml:space="preserve">ata </w:t>
      </w:r>
      <w:r>
        <w:rPr>
          <w:rFonts w:ascii="Arial" w:hAnsi="Arial" w:cs="Arial"/>
        </w:rPr>
        <w:t>B</w:t>
      </w:r>
      <w:r>
        <w:rPr>
          <w:rFonts w:ascii="Arial" w:hAnsi="Arial" w:cs="Arial"/>
        </w:rPr>
        <w:t xml:space="preserve">reach </w:t>
      </w:r>
      <w:r>
        <w:rPr>
          <w:rFonts w:ascii="Arial" w:hAnsi="Arial" w:cs="Arial"/>
        </w:rPr>
        <w:t>R</w:t>
      </w:r>
      <w:r>
        <w:rPr>
          <w:rFonts w:ascii="Arial" w:hAnsi="Arial" w:cs="Arial"/>
        </w:rPr>
        <w:t xml:space="preserve">esponse </w:t>
      </w:r>
      <w:r>
        <w:rPr>
          <w:rFonts w:ascii="Arial" w:hAnsi="Arial" w:cs="Arial"/>
        </w:rPr>
        <w:t>K</w:t>
      </w:r>
      <w:r>
        <w:rPr>
          <w:rFonts w:ascii="Arial" w:hAnsi="Arial" w:cs="Arial"/>
        </w:rPr>
        <w:t>it sets out a</w:t>
      </w:r>
      <w:r>
        <w:rPr>
          <w:rFonts w:ascii="Arial" w:hAnsi="Arial" w:cs="Arial"/>
        </w:rPr>
        <w:t xml:space="preserve"> process for notifying affected individuals and the OAIC when a breach is likely to result in serious harm</w:t>
      </w:r>
      <w:r>
        <w:rPr>
          <w:rFonts w:ascii="Arial" w:hAnsi="Arial" w:cs="Arial"/>
        </w:rPr>
        <w:t xml:space="preserve"> including the required timeframes.</w:t>
      </w:r>
    </w:p>
    <w:p>
      <w:pPr>
        <w:pStyle w:val="ListParagraph"/>
        <w:rPr>
          <w:rFonts w:ascii="Arial" w:hAnsi="Arial" w:cs="Arial"/>
        </w:rPr>
      </w:pPr>
    </w:p>
    <w:p>
      <w:pPr>
        <w:pStyle w:val="ListParagraph"/>
        <w:numPr>
          <w:ilvl w:val="0"/>
          <w:numId w:val="22"/>
        </w:numPr>
        <w:ind w:left="1208" w:hanging="357"/>
        <w:rPr>
          <w:rFonts w:ascii="Arial" w:hAnsi="Arial" w:cs="Arial"/>
        </w:rPr>
      </w:pPr>
      <w:r>
        <w:rPr>
          <w:rFonts w:ascii="Arial" w:hAnsi="Arial" w:cs="Arial"/>
        </w:rPr>
        <w:t>Timeframes for notification and remedial actions</w:t>
      </w:r>
      <w:r>
        <w:rPr>
          <w:rFonts w:ascii="Arial" w:hAnsi="Arial" w:cs="Arial"/>
        </w:rPr>
        <w:t xml:space="preserve"> are included in the </w:t>
      </w:r>
      <w:r>
        <w:rPr>
          <w:rFonts w:ascii="Arial" w:hAnsi="Arial" w:cs="Arial"/>
        </w:rPr>
        <w:t>D</w:t>
      </w:r>
      <w:r>
        <w:rPr>
          <w:rFonts w:ascii="Arial" w:hAnsi="Arial" w:cs="Arial"/>
        </w:rPr>
        <w:t xml:space="preserve">ata </w:t>
      </w:r>
      <w:r>
        <w:rPr>
          <w:rFonts w:ascii="Arial" w:hAnsi="Arial" w:cs="Arial"/>
        </w:rPr>
        <w:t>B</w:t>
      </w:r>
      <w:r>
        <w:rPr>
          <w:rFonts w:ascii="Arial" w:hAnsi="Arial" w:cs="Arial"/>
        </w:rPr>
        <w:t xml:space="preserve">reach </w:t>
      </w:r>
      <w:r>
        <w:rPr>
          <w:rFonts w:ascii="Arial" w:hAnsi="Arial" w:cs="Arial"/>
        </w:rPr>
        <w:t>R</w:t>
      </w:r>
      <w:r>
        <w:rPr>
          <w:rFonts w:ascii="Arial" w:hAnsi="Arial" w:cs="Arial"/>
        </w:rPr>
        <w:t xml:space="preserve">esponse </w:t>
      </w:r>
      <w:r>
        <w:rPr>
          <w:rFonts w:ascii="Arial" w:hAnsi="Arial" w:cs="Arial"/>
        </w:rPr>
        <w:t>P</w:t>
      </w:r>
      <w:r>
        <w:rPr>
          <w:rFonts w:ascii="Arial" w:hAnsi="Arial" w:cs="Arial"/>
        </w:rPr>
        <w:t>lan.</w:t>
      </w:r>
    </w:p>
    <w:p>
      <w:pPr>
        <w:pStyle w:val="ListParagraph"/>
        <w:spacing w:line="360" w:lineRule="auto"/>
        <w:ind w:left="1211" w:firstLine="0"/>
        <w:rPr>
          <w:rFonts w:ascii="Arial" w:hAnsi="Arial" w:cs="Arial"/>
          <w:color w:val="FF0000"/>
        </w:rPr>
      </w:pPr>
    </w:p>
    <w:p>
      <w:pPr>
        <w:pStyle w:val="Heading3"/>
        <w:spacing w:line="360" w:lineRule="auto"/>
      </w:pPr>
      <w:bookmarkStart w:id="24" w:name="_Toc208993582"/>
      <w:r>
        <w:t>6.2</w:t>
      </w:r>
      <w:r>
        <w:tab/>
        <w:t>Individual Rights</w:t>
      </w:r>
      <w:bookmarkEnd w:id="24"/>
      <w:r>
        <w:t xml:space="preserve"> </w:t>
      </w:r>
    </w:p>
    <w:p>
      <w:pPr>
        <w:spacing w:line="240" w:lineRule="auto"/>
        <w:ind w:left="851"/>
        <w:rPr>
          <w:rFonts w:ascii="Arial" w:hAnsi="Arial" w:cs="Arial"/>
        </w:rPr>
      </w:pPr>
      <w:r>
        <w:rPr>
          <w:rFonts w:ascii="Arial" w:hAnsi="Arial" w:cs="Arial"/>
        </w:rPr>
        <w:t xml:space="preserve">The Licensee acknowledges that individuals have certain rights under the Privacy Act and the amended changes which commenced in June 2025. Part of these changes include: </w:t>
      </w:r>
    </w:p>
    <w:p>
      <w:pPr>
        <w:pStyle w:val="ListParagraph"/>
        <w:numPr>
          <w:ilvl w:val="0"/>
          <w:numId w:val="23"/>
        </w:numPr>
        <w:ind w:left="1208" w:hanging="357"/>
        <w:rPr>
          <w:rFonts w:ascii="Arial" w:hAnsi="Arial" w:cs="Arial"/>
        </w:rPr>
      </w:pPr>
      <w:r>
        <w:rPr>
          <w:rFonts w:ascii="Arial" w:hAnsi="Arial" w:cs="Arial"/>
        </w:rPr>
        <w:t>Having access to their personal information, specifically the information that the Licensee holds on its clients.</w:t>
      </w:r>
    </w:p>
    <w:p>
      <w:pPr>
        <w:pStyle w:val="ListParagraph"/>
        <w:ind w:left="1208" w:firstLine="0"/>
        <w:rPr>
          <w:rFonts w:ascii="Arial" w:hAnsi="Arial" w:cs="Arial"/>
        </w:rPr>
      </w:pPr>
    </w:p>
    <w:p>
      <w:pPr>
        <w:pStyle w:val="ListParagraph"/>
        <w:numPr>
          <w:ilvl w:val="0"/>
          <w:numId w:val="23"/>
        </w:numPr>
        <w:ind w:left="1208" w:hanging="357"/>
        <w:rPr>
          <w:rFonts w:ascii="Arial" w:hAnsi="Arial" w:cs="Arial"/>
        </w:rPr>
      </w:pPr>
      <w:r>
        <w:rPr>
          <w:rFonts w:ascii="Arial" w:hAnsi="Arial" w:cs="Arial"/>
        </w:rPr>
        <w:t>Correcting inaccuracies in relation to the information that the Licensee holds on its clients.</w:t>
      </w:r>
    </w:p>
    <w:p>
      <w:pPr>
        <w:pStyle w:val="ListParagraph"/>
        <w:rPr>
          <w:rFonts w:ascii="Arial" w:hAnsi="Arial" w:cs="Arial"/>
        </w:rPr>
      </w:pPr>
    </w:p>
    <w:p>
      <w:pPr>
        <w:pStyle w:val="ListParagraph"/>
        <w:numPr>
          <w:ilvl w:val="0"/>
          <w:numId w:val="23"/>
        </w:numPr>
        <w:ind w:left="1208" w:hanging="357"/>
        <w:rPr>
          <w:rFonts w:ascii="Arial" w:hAnsi="Arial" w:cs="Arial"/>
        </w:rPr>
      </w:pPr>
      <w:r>
        <w:rPr>
          <w:rFonts w:ascii="Arial" w:hAnsi="Arial" w:cs="Arial"/>
        </w:rPr>
        <w:lastRenderedPageBreak/>
        <w:t xml:space="preserve">Requesting data deletion by clients and former clients </w:t>
      </w:r>
      <w:r>
        <w:rPr>
          <w:rFonts w:ascii="Arial" w:hAnsi="Arial" w:cs="Arial"/>
        </w:rPr>
        <w:t xml:space="preserve">in relation to </w:t>
      </w:r>
      <w:r>
        <w:rPr>
          <w:rFonts w:ascii="Arial" w:hAnsi="Arial" w:cs="Arial"/>
        </w:rPr>
        <w:t>information that the Licensee holds on its clients</w:t>
      </w:r>
      <w:r>
        <w:rPr>
          <w:rFonts w:ascii="Arial" w:hAnsi="Arial" w:cs="Arial"/>
        </w:rPr>
        <w:t xml:space="preserve"> and former clients which it no longer requires.</w:t>
      </w:r>
    </w:p>
    <w:p>
      <w:pPr>
        <w:pStyle w:val="ListParagraph"/>
        <w:rPr>
          <w:rFonts w:ascii="Arial" w:hAnsi="Arial" w:cs="Arial"/>
        </w:rPr>
      </w:pPr>
    </w:p>
    <w:p>
      <w:pPr>
        <w:pStyle w:val="ListParagraph"/>
        <w:numPr>
          <w:ilvl w:val="0"/>
          <w:numId w:val="23"/>
        </w:numPr>
        <w:ind w:left="1208" w:hanging="357"/>
        <w:rPr>
          <w:rFonts w:ascii="Arial" w:hAnsi="Arial" w:cs="Arial"/>
        </w:rPr>
      </w:pPr>
      <w:r>
        <w:rPr>
          <w:rFonts w:ascii="Arial" w:hAnsi="Arial" w:cs="Arial"/>
        </w:rPr>
        <w:t>Acknowledging and respecting a client</w:t>
      </w:r>
      <w:r>
        <w:rPr>
          <w:rFonts w:ascii="Arial" w:hAnsi="Arial" w:cs="Arial"/>
        </w:rPr>
        <w:t xml:space="preserve"> (or former client)</w:t>
      </w:r>
      <w:r>
        <w:rPr>
          <w:rFonts w:ascii="Arial" w:hAnsi="Arial" w:cs="Arial"/>
        </w:rPr>
        <w:t xml:space="preserve"> may object to certain data processing </w:t>
      </w:r>
      <w:r>
        <w:rPr>
          <w:rFonts w:ascii="Arial" w:hAnsi="Arial" w:cs="Arial"/>
        </w:rPr>
        <w:t>activities.</w:t>
      </w:r>
    </w:p>
    <w:p>
      <w:pPr>
        <w:pStyle w:val="ListParagraph"/>
        <w:rPr>
          <w:rFonts w:ascii="Arial" w:hAnsi="Arial" w:cs="Arial"/>
        </w:rPr>
      </w:pPr>
    </w:p>
    <w:p>
      <w:pPr>
        <w:pStyle w:val="ListParagraph"/>
        <w:numPr>
          <w:ilvl w:val="0"/>
          <w:numId w:val="23"/>
        </w:numPr>
        <w:ind w:left="1208" w:hanging="357"/>
        <w:rPr>
          <w:rFonts w:ascii="Arial" w:hAnsi="Arial" w:cs="Arial"/>
        </w:rPr>
      </w:pPr>
      <w:r>
        <w:rPr>
          <w:rFonts w:ascii="Arial" w:hAnsi="Arial" w:cs="Arial"/>
        </w:rPr>
        <w:t>Acknowledging and respecting a client</w:t>
      </w:r>
      <w:r>
        <w:rPr>
          <w:rFonts w:ascii="Arial" w:hAnsi="Arial" w:cs="Arial"/>
        </w:rPr>
        <w:t xml:space="preserve"> (or a former client)</w:t>
      </w:r>
      <w:r>
        <w:rPr>
          <w:rFonts w:ascii="Arial" w:hAnsi="Arial" w:cs="Arial"/>
        </w:rPr>
        <w:t xml:space="preserve"> has a right </w:t>
      </w:r>
      <w:r>
        <w:rPr>
          <w:rFonts w:ascii="Arial" w:hAnsi="Arial" w:cs="Arial"/>
        </w:rPr>
        <w:t>to lodge a complaint with the OAIC</w:t>
      </w:r>
      <w:r>
        <w:rPr>
          <w:rFonts w:ascii="Arial" w:hAnsi="Arial" w:cs="Arial"/>
        </w:rPr>
        <w:t>.</w:t>
      </w:r>
    </w:p>
    <w:p>
      <w:pPr>
        <w:pStyle w:val="ListParagraph"/>
        <w:rPr>
          <w:rFonts w:ascii="Arial" w:hAnsi="Arial" w:cs="Arial"/>
        </w:rPr>
      </w:pPr>
    </w:p>
    <w:p>
      <w:pPr>
        <w:pStyle w:val="ListParagraph"/>
        <w:numPr>
          <w:ilvl w:val="0"/>
          <w:numId w:val="23"/>
        </w:numPr>
        <w:ind w:left="1208" w:hanging="357"/>
        <w:rPr>
          <w:rFonts w:ascii="Arial" w:hAnsi="Arial" w:cs="Arial"/>
        </w:rPr>
      </w:pPr>
      <w:r>
        <w:rPr>
          <w:rFonts w:ascii="Arial" w:hAnsi="Arial" w:cs="Arial"/>
        </w:rPr>
        <w:t>The right to sue for a serious breach of privacy</w:t>
      </w:r>
      <w:r>
        <w:rPr>
          <w:rFonts w:ascii="Arial" w:hAnsi="Arial" w:cs="Arial"/>
        </w:rPr>
        <w:t xml:space="preserve"> as a result of the mishandling of data</w:t>
      </w:r>
      <w:r>
        <w:rPr>
          <w:rFonts w:ascii="Arial" w:hAnsi="Arial" w:cs="Arial"/>
        </w:rPr>
        <w:t>, even if the OAIC is not involved</w:t>
      </w:r>
      <w:r>
        <w:rPr>
          <w:rFonts w:ascii="Arial" w:hAnsi="Arial" w:cs="Arial"/>
        </w:rPr>
        <w:t>.</w:t>
      </w:r>
    </w:p>
    <w:p>
      <w:pPr>
        <w:pStyle w:val="ListParagraph"/>
        <w:spacing w:line="360" w:lineRule="auto"/>
        <w:ind w:left="1211" w:firstLine="0"/>
        <w:rPr>
          <w:rFonts w:ascii="Arial" w:hAnsi="Arial" w:cs="Arial"/>
          <w:color w:val="FF0000"/>
        </w:rPr>
      </w:pPr>
    </w:p>
    <w:p>
      <w:pPr>
        <w:pStyle w:val="Heading3"/>
        <w:spacing w:line="360" w:lineRule="auto"/>
      </w:pPr>
      <w:bookmarkStart w:id="25" w:name="_Toc208993583"/>
      <w:r>
        <w:t xml:space="preserve">6.3 </w:t>
      </w:r>
      <w:r>
        <w:tab/>
        <w:t>Children's Online Privacy</w:t>
      </w:r>
      <w:bookmarkEnd w:id="25"/>
      <w:r>
        <w:t xml:space="preserve"> </w:t>
      </w:r>
    </w:p>
    <w:p>
      <w:pPr>
        <w:spacing w:line="240" w:lineRule="auto"/>
        <w:ind w:left="851"/>
        <w:rPr>
          <w:rFonts w:ascii="Arial" w:hAnsi="Arial" w:cs="Arial"/>
        </w:rPr>
      </w:pPr>
      <w:r>
        <w:rPr>
          <w:rFonts w:ascii="Arial" w:hAnsi="Arial" w:cs="Arial"/>
        </w:rPr>
        <w:t xml:space="preserve">The Licensee's services are not directed at </w:t>
      </w:r>
      <w:r>
        <w:rPr>
          <w:rFonts w:ascii="Arial" w:hAnsi="Arial" w:cs="Arial"/>
        </w:rPr>
        <w:t>c</w:t>
      </w:r>
      <w:r>
        <w:rPr>
          <w:rFonts w:ascii="Arial" w:hAnsi="Arial" w:cs="Arial"/>
        </w:rPr>
        <w:t>hi</w:t>
      </w:r>
      <w:r>
        <w:rPr>
          <w:rFonts w:ascii="Arial" w:hAnsi="Arial" w:cs="Arial"/>
        </w:rPr>
        <w:t xml:space="preserve">ldren and therefore the Licensee </w:t>
      </w:r>
      <w:r>
        <w:rPr>
          <w:rFonts w:ascii="Arial" w:hAnsi="Arial" w:cs="Arial"/>
        </w:rPr>
        <w:t xml:space="preserve">is not bound by the Children's Online Privacy </w:t>
      </w:r>
      <w:r>
        <w:rPr>
          <w:rFonts w:ascii="Arial" w:hAnsi="Arial" w:cs="Arial"/>
        </w:rPr>
        <w:t xml:space="preserve">Code. </w:t>
      </w:r>
      <w:r>
        <w:rPr>
          <w:rFonts w:ascii="Arial" w:hAnsi="Arial" w:cs="Arial"/>
        </w:rPr>
        <w:t xml:space="preserve">The Children's Online Privacy Code </w:t>
      </w:r>
      <w:r>
        <w:rPr>
          <w:rFonts w:ascii="Arial" w:hAnsi="Arial" w:cs="Arial"/>
        </w:rPr>
        <w:t xml:space="preserve">will be developed and registered by 10 December 2026. </w:t>
      </w:r>
    </w:p>
    <w:p>
      <w:pPr>
        <w:pStyle w:val="Heading3"/>
        <w:spacing w:line="360" w:lineRule="auto"/>
      </w:pPr>
      <w:bookmarkStart w:id="26" w:name="_Toc208993584"/>
      <w:r>
        <w:t>6.4</w:t>
      </w:r>
      <w:r>
        <w:tab/>
      </w:r>
      <w:r>
        <w:t>Doxxing</w:t>
      </w:r>
      <w:bookmarkEnd w:id="26"/>
      <w:r>
        <w:t xml:space="preserve"> </w:t>
      </w:r>
    </w:p>
    <w:p>
      <w:pPr>
        <w:spacing w:line="240" w:lineRule="auto"/>
        <w:ind w:left="851"/>
        <w:rPr>
          <w:rFonts w:ascii="Arial" w:hAnsi="Arial" w:cs="Arial"/>
        </w:rPr>
      </w:pPr>
      <w:r>
        <w:rPr>
          <w:rFonts w:ascii="Arial" w:hAnsi="Arial" w:cs="Arial"/>
        </w:rPr>
        <w:t xml:space="preserve">The Licensee acknowledges that </w:t>
      </w:r>
      <w:r>
        <w:rPr>
          <w:rFonts w:ascii="Arial" w:hAnsi="Arial" w:cs="Arial"/>
        </w:rPr>
        <w:t>doxxing</w:t>
      </w:r>
      <w:r>
        <w:rPr>
          <w:rFonts w:ascii="Arial" w:hAnsi="Arial" w:cs="Arial"/>
        </w:rPr>
        <w:t xml:space="preserve"> is now a serious offence and that publishing someone's private information, such as their address, work address and phone number with the intent to cause harm is now a criminal offence, even if it was accidental. This includes sharing information via social media.</w:t>
      </w:r>
      <w:r>
        <w:rPr>
          <w:rFonts w:ascii="Arial" w:hAnsi="Arial" w:cs="Arial"/>
        </w:rPr>
        <w:t xml:space="preserve"> The Licensee has taken steps to train it staff about the dangers of </w:t>
      </w:r>
      <w:r>
        <w:rPr>
          <w:rFonts w:ascii="Arial" w:hAnsi="Arial" w:cs="Arial"/>
        </w:rPr>
        <w:t>doxxing</w:t>
      </w:r>
      <w:r>
        <w:rPr>
          <w:rFonts w:ascii="Arial" w:hAnsi="Arial" w:cs="Arial"/>
        </w:rPr>
        <w:t xml:space="preserve"> and how it can put the Licensee's business at risk.</w:t>
      </w:r>
    </w:p>
    <w:p>
      <w:pPr>
        <w:pStyle w:val="Heading2"/>
        <w:rPr>
          <w:b/>
        </w:rPr>
      </w:pPr>
      <w:bookmarkStart w:id="27" w:name="_Toc208993585"/>
      <w:r>
        <w:t>Contact us</w:t>
      </w:r>
      <w:bookmarkEnd w:id="27"/>
    </w:p>
    <w:p>
      <w:pPr>
        <w:ind w:left="851"/>
        <w:rPr>
          <w:rFonts w:ascii="Arial" w:hAnsi="Arial" w:cs="Arial"/>
        </w:rPr>
      </w:pPr>
      <w:r>
        <w:rPr>
          <w:rFonts w:ascii="Arial" w:hAnsi="Arial" w:cs="Arial"/>
        </w:rPr>
        <w:t>You may wish to contact us for the following:</w:t>
      </w:r>
    </w:p>
    <w:p>
      <w:pPr>
        <w:pStyle w:val="ListParagraph"/>
        <w:numPr>
          <w:ilvl w:val="0"/>
          <w:numId w:val="24"/>
        </w:numPr>
        <w:spacing w:line="360" w:lineRule="auto"/>
        <w:rPr>
          <w:rFonts w:ascii="Arial" w:hAnsi="Arial" w:cs="Arial"/>
        </w:rPr>
      </w:pPr>
      <w:r>
        <w:rPr>
          <w:rFonts w:ascii="Arial" w:hAnsi="Arial" w:cs="Arial"/>
        </w:rPr>
        <w:t xml:space="preserve">   </w:t>
      </w:r>
      <w:r>
        <w:rPr>
          <w:rFonts w:ascii="Arial" w:hAnsi="Arial" w:cs="Arial"/>
        </w:rPr>
        <w:t xml:space="preserve">find out what personal information we hold about you; </w:t>
      </w:r>
    </w:p>
    <w:p>
      <w:pPr>
        <w:pStyle w:val="ListParagraph"/>
        <w:numPr>
          <w:ilvl w:val="0"/>
          <w:numId w:val="24"/>
        </w:numPr>
        <w:spacing w:line="360" w:lineRule="auto"/>
        <w:ind w:left="1418" w:hanging="567"/>
        <w:rPr>
          <w:rFonts w:ascii="Arial" w:hAnsi="Arial" w:cs="Arial"/>
        </w:rPr>
      </w:pPr>
      <w:r>
        <w:rPr>
          <w:rFonts w:ascii="Arial" w:hAnsi="Arial" w:cs="Arial"/>
        </w:rPr>
        <w:t>update or correct the personal information we hold about you;</w:t>
      </w:r>
    </w:p>
    <w:p>
      <w:pPr>
        <w:pStyle w:val="ListParagraph"/>
        <w:numPr>
          <w:ilvl w:val="0"/>
          <w:numId w:val="24"/>
        </w:numPr>
        <w:spacing w:line="360" w:lineRule="auto"/>
        <w:ind w:left="1418" w:hanging="567"/>
        <w:rPr>
          <w:rFonts w:ascii="Arial" w:hAnsi="Arial" w:cs="Arial"/>
        </w:rPr>
      </w:pPr>
      <w:r>
        <w:rPr>
          <w:rFonts w:ascii="Arial" w:hAnsi="Arial" w:cs="Arial"/>
        </w:rPr>
        <w:t>Request we delete the data we hold about you</w:t>
      </w:r>
    </w:p>
    <w:p>
      <w:pPr>
        <w:pStyle w:val="ListParagraph"/>
        <w:numPr>
          <w:ilvl w:val="0"/>
          <w:numId w:val="24"/>
        </w:numPr>
        <w:spacing w:line="360" w:lineRule="auto"/>
        <w:ind w:left="1418" w:hanging="567"/>
        <w:rPr>
          <w:rFonts w:ascii="Arial" w:hAnsi="Arial" w:cs="Arial"/>
        </w:rPr>
      </w:pPr>
      <w:r>
        <w:rPr>
          <w:rFonts w:ascii="Arial" w:hAnsi="Arial" w:cs="Arial"/>
        </w:rPr>
        <w:t>opt out of receiving direct marketing material</w:t>
      </w:r>
    </w:p>
    <w:p>
      <w:pPr>
        <w:pStyle w:val="ListParagraph"/>
        <w:numPr>
          <w:ilvl w:val="0"/>
          <w:numId w:val="24"/>
        </w:numPr>
        <w:ind w:left="1418" w:hanging="567"/>
        <w:rPr>
          <w:rFonts w:ascii="Arial" w:hAnsi="Arial" w:cs="Arial"/>
        </w:rPr>
      </w:pPr>
      <w:r>
        <w:rPr>
          <w:rFonts w:ascii="Arial" w:hAnsi="Arial" w:cs="Arial"/>
        </w:rPr>
        <w:t>make a privacy related complaint</w:t>
      </w:r>
      <w:r>
        <w:rPr>
          <w:rFonts w:ascii="Arial" w:hAnsi="Arial" w:cs="Arial"/>
        </w:rPr>
        <w:t xml:space="preserve"> with us of the O</w:t>
      </w:r>
      <w:r>
        <w:rPr>
          <w:rFonts w:ascii="Arial" w:hAnsi="Arial" w:cs="Arial"/>
        </w:rPr>
        <w:t>ffice of the Australian Information Commissioner (O</w:t>
      </w:r>
      <w:r>
        <w:rPr>
          <w:rFonts w:ascii="Arial" w:hAnsi="Arial" w:cs="Arial"/>
        </w:rPr>
        <w:t>AIC</w:t>
      </w:r>
      <w:r>
        <w:rPr>
          <w:rFonts w:ascii="Arial" w:hAnsi="Arial" w:cs="Arial"/>
        </w:rPr>
        <w:t>)</w:t>
      </w:r>
      <w:r>
        <w:rPr>
          <w:rFonts w:ascii="Arial" w:hAnsi="Arial" w:cs="Arial"/>
        </w:rPr>
        <w:t xml:space="preserve"> </w:t>
      </w:r>
      <w:r>
        <w:rPr>
          <w:rFonts w:ascii="Arial" w:hAnsi="Arial" w:cs="Arial"/>
        </w:rPr>
        <w:t xml:space="preserve">. </w:t>
      </w:r>
      <w:r>
        <w:rPr>
          <w:rFonts w:ascii="Arial" w:hAnsi="Arial" w:cs="Arial"/>
        </w:rPr>
        <w:cr/>
      </w:r>
    </w:p>
    <w:p>
      <w:pPr>
        <w:ind w:left="851"/>
        <w:rPr>
          <w:rFonts w:ascii="Arial" w:hAnsi="Arial" w:cs="Arial"/>
        </w:rPr>
      </w:pPr>
      <w:r>
        <w:rPr>
          <w:rFonts w:ascii="Arial" w:hAnsi="Arial" w:cs="Arial"/>
        </w:rPr>
        <w:t xml:space="preserve">Should you wish to do so, please contact us on the details below: </w:t>
      </w:r>
    </w:p>
    <w:p>
      <w:pPr>
        <w:ind w:left="851"/>
        <w:rPr>
          <w:rFonts w:ascii="Arial" w:hAnsi="Arial" w:cs="Arial"/>
        </w:rPr>
      </w:pPr>
      <w:r>
        <w:rPr>
          <w:rFonts w:ascii="Arial" w:hAnsi="Arial" w:cs="Arial"/>
        </w:rPr>
        <w:t>Endure Wealth Pty Ltd</w:t>
      </w:r>
    </w:p>
    <w:p>
      <w:pPr>
        <w:ind w:left="851"/>
        <w:rPr>
          <w:rFonts w:ascii="Arial" w:hAnsi="Arial" w:cs="Arial"/>
          <w:u w:val="single"/>
        </w:rPr>
      </w:pPr>
      <w:r>
        <w:rPr>
          <w:rFonts w:ascii="Arial" w:hAnsi="Arial" w:cs="Arial"/>
          <w:u w:val="single"/>
        </w:rPr>
        <w:t xml:space="preserve">Street </w:t>
      </w:r>
      <w:r>
        <w:rPr>
          <w:rFonts w:ascii="Arial" w:hAnsi="Arial" w:cs="Arial"/>
          <w:u w:val="single"/>
        </w:rPr>
        <w:t xml:space="preserve">Address: </w:t>
      </w:r>
    </w:p>
    <w:p>
      <w:pPr>
        <w:spacing w:after="0"/>
        <w:ind w:left="851"/>
        <w:rPr>
          <w:rFonts w:ascii="Arial" w:hAnsi="Arial" w:cs="Arial"/>
        </w:rPr>
      </w:pPr>
      <w:r>
        <w:rPr>
          <w:rFonts w:ascii="Arial" w:hAnsi="Arial" w:cs="Arial"/>
        </w:rPr>
        <w:t>
          Level 1, 
          <w:br/>
          139  Sturt Street
        </w:t>
      </w:r>
    </w:p>
    <w:p>
      <w:pPr>
        <w:spacing w:after="0"/>
        <w:ind w:left="851"/>
        <w:rPr>
          <w:rFonts w:ascii="Arial" w:hAnsi="Arial" w:cs="Arial"/>
        </w:rPr>
      </w:pPr>
      <w:r>
        <w:rPr>
          <w:rFonts w:ascii="Arial" w:hAnsi="Arial" w:cs="Arial"/>
        </w:rPr>
        <w:t>Townsville City</w:t>
      </w:r>
      <w:r>
        <w:rPr>
          <w:rFonts w:ascii="Arial" w:hAnsi="Arial" w:cs="Arial"/>
        </w:rPr>
        <w:t xml:space="preserve"> </w:t>
      </w:r>
      <w:r>
        <w:rPr>
          <w:rFonts w:ascii="Arial" w:hAnsi="Arial" w:cs="Arial"/>
        </w:rPr>
        <w:t xml:space="preserve"> QLD</w:t>
      </w:r>
      <w:r>
        <w:rPr>
          <w:rFonts w:ascii="Arial" w:hAnsi="Arial" w:cs="Arial"/>
        </w:rPr>
        <w:t xml:space="preserve"> </w:t>
      </w:r>
      <w:r>
        <w:rPr>
          <w:rFonts w:ascii="Arial" w:hAnsi="Arial" w:cs="Arial"/>
        </w:rPr>
        <w:t xml:space="preserve"> </w:t>
      </w:r>
      <w:r>
        <w:rPr>
          <w:rFonts w:ascii="Arial" w:hAnsi="Arial" w:cs="Arial"/>
        </w:rPr>
        <w:t>4810</w:t>
      </w:r>
    </w:p>
    <w:p>
      <w:pPr>
        <w:spacing w:after="0"/>
        <w:ind w:left="131" w:firstLine="720"/>
        <w:rPr>
          <w:rFonts w:ascii="Arial" w:hAnsi="Arial" w:cs="Arial"/>
        </w:rPr>
      </w:pPr>
      <w:r>
        <w:rPr>
          <w:rFonts w:ascii="Arial" w:hAnsi="Arial" w:cs="Arial"/>
        </w:rPr>
        <w:t>Australia</w:t>
      </w:r>
    </w:p>
    <w:p>
      <w:pPr>
        <w:ind w:left="851"/>
        <w:rPr>
          <w:rFonts w:ascii="Arial" w:hAnsi="Arial" w:cs="Arial"/>
        </w:rPr>
      </w:pPr>
    </w:p>
    <w:p>
      <w:pPr>
        <w:ind w:left="851"/>
        <w:rPr>
          <w:rFonts w:ascii="Arial" w:hAnsi="Arial" w:cs="Arial"/>
          <w:u w:val="single"/>
        </w:rPr>
      </w:pPr>
      <w:r>
        <w:rPr>
          <w:rFonts w:ascii="Arial" w:hAnsi="Arial" w:cs="Arial"/>
          <w:u w:val="single"/>
        </w:rPr>
        <w:t>Postal Address:</w:t>
      </w:r>
    </w:p>
    <w:p>
      <w:pPr>
        <w:spacing w:after="0"/>
        <w:ind w:left="851"/>
        <w:rPr>
          <w:rFonts w:ascii="Arial" w:hAnsi="Arial" w:cs="Arial"/>
        </w:rPr>
      </w:pPr>
      <w:r>
        <w:rPr>
          <w:rFonts w:ascii="Arial" w:hAnsi="Arial" w:cs="Arial"/>
        </w:rPr>
        <w:t>PO Box 2105</w:t>
      </w:r>
    </w:p>
    <w:p>
      <w:pPr>
        <w:spacing w:after="0"/>
        <w:ind w:left="851"/>
        <w:rPr>
          <w:rFonts w:ascii="Arial" w:hAnsi="Arial" w:cs="Arial"/>
        </w:rPr>
      </w:pPr>
      <w:r>
        <w:rPr>
          <w:rFonts w:ascii="Arial" w:hAnsi="Arial" w:cs="Arial"/>
        </w:rPr>
        <w:t>Townsville</w:t>
      </w:r>
      <w:r>
        <w:rPr>
          <w:rFonts w:ascii="Arial" w:hAnsi="Arial" w:cs="Arial"/>
        </w:rPr>
        <w:t xml:space="preserve"> </w:t>
      </w:r>
      <w:r>
        <w:rPr>
          <w:rFonts w:ascii="Arial" w:hAnsi="Arial" w:cs="Arial"/>
        </w:rPr>
        <w:t xml:space="preserve"> </w:t>
      </w:r>
      <w:r>
        <w:rPr>
          <w:rFonts w:ascii="Arial" w:hAnsi="Arial" w:cs="Arial"/>
        </w:rPr>
        <w:t>QLD</w:t>
      </w:r>
      <w:r>
        <w:rPr>
          <w:rFonts w:ascii="Arial" w:hAnsi="Arial" w:cs="Arial"/>
        </w:rPr>
        <w:t xml:space="preserve"> </w:t>
      </w:r>
      <w:r>
        <w:rPr>
          <w:rFonts w:ascii="Arial" w:hAnsi="Arial" w:cs="Arial"/>
        </w:rPr>
        <w:t xml:space="preserve"> </w:t>
      </w:r>
      <w:r>
        <w:rPr>
          <w:rFonts w:ascii="Arial" w:hAnsi="Arial" w:cs="Arial"/>
        </w:rPr>
        <w:t>4810</w:t>
      </w:r>
    </w:p>
    <w:p>
      <w:pPr>
        <w:spacing w:after="0"/>
        <w:ind w:left="131" w:firstLine="720"/>
        <w:rPr>
          <w:rFonts w:ascii="Arial" w:hAnsi="Arial" w:cs="Arial"/>
        </w:rPr>
      </w:pPr>
      <w:r>
        <w:rPr>
          <w:rFonts w:ascii="Arial" w:hAnsi="Arial" w:cs="Arial"/>
        </w:rPr>
        <w:lastRenderedPageBreak/>
        <w:t>Australia</w:t>
      </w:r>
    </w:p>
    <w:p>
      <w:pPr>
        <w:ind w:left="851"/>
        <w:rPr>
          <w:rFonts w:ascii="Arial" w:hAnsi="Arial" w:cs="Arial"/>
        </w:rPr>
      </w:pPr>
    </w:p>
    <w:p>
      <w:pPr>
        <w:ind w:left="851"/>
        <w:rPr>
          <w:rFonts w:ascii="Arial" w:hAnsi="Arial" w:cs="Arial"/>
        </w:rPr>
      </w:pPr>
      <w:r>
        <w:rPr>
          <w:rFonts w:ascii="Arial" w:hAnsi="Arial" w:cs="Arial"/>
        </w:rPr>
        <w:t xml:space="preserve">Phone: </w:t>
      </w:r>
      <w:r>
        <w:rPr>
          <w:rFonts w:ascii="Arial" w:hAnsi="Arial" w:cs="Arial"/>
        </w:rPr>
        <w:t>07 4760 5900</w:t>
      </w:r>
    </w:p>
    <w:p>
      <w:pPr>
        <w:ind w:left="851"/>
        <w:rPr>
          <w:rFonts w:ascii="Arial" w:hAnsi="Arial" w:cs="Arial"/>
        </w:rPr>
      </w:pPr>
      <w:r>
        <w:rPr>
          <w:rFonts w:ascii="Arial" w:hAnsi="Arial" w:cs="Arial"/>
        </w:rPr>
        <w:t xml:space="preserve">Website: </w:t>
      </w:r>
      <w:r>
        <w:rPr>
          <w:rFonts w:ascii="Arial" w:hAnsi="Arial" w:cs="Arial"/>
        </w:rPr>
        <w:t>https://careygroup.com.au/</w:t>
      </w:r>
    </w:p>
    <w:p>
      <w:pPr>
        <w:rPr>
          <w:rFonts w:ascii="Arial" w:hAnsi="Arial" w:cs="Arial"/>
        </w:rPr>
      </w:pPr>
    </w:p>
    <w:sect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46B5" w14:textId="77777777" w:rsidR="006B13A9" w:rsidRDefault="006B13A9" w:rsidP="00F97E79">
      <w:pPr>
        <w:spacing w:after="0" w:line="240" w:lineRule="auto"/>
      </w:pPr>
      <w:r>
        <w:separator/>
      </w:r>
    </w:p>
  </w:endnote>
  <w:endnote w:type="continuationSeparator" w:id="0">
    <w:p w14:paraId="3E4B03B9" w14:textId="77777777" w:rsidR="006B13A9" w:rsidRDefault="006B13A9" w:rsidP="00F97E79">
      <w:pPr>
        <w:spacing w:after="0" w:line="240" w:lineRule="auto"/>
      </w:pPr>
      <w:r>
        <w:continuationSeparator/>
      </w:r>
    </w:p>
  </w:endnote>
  <w:endnote w:type="continuationNotice" w:id="1">
    <w:p w14:paraId="05196747" w14:textId="77777777" w:rsidR="006B13A9" w:rsidRDefault="006B1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Borders>
        <w:top w:val="single" w:sz="4" w:space="0" w:color="7395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913"/>
    </w:tblGrid>
    <w:tr w14:paraId="5B126121" w14:textId="77777777">
      <w:trPr>
        <w:trHeight w:val="283"/>
      </w:trPr>
      <w:tc>
        <w:tcPr>
          <w:tcW w:w="3005" w:type="dxa"/>
        </w:tcPr>
        <w:p>
          <w:pPr>
            <w:pStyle w:val="Footer"/>
            <w:rPr>
              <w:sz w:val="16"/>
              <w:szCs w:val="14"/>
            </w:rPr>
          </w:pPr>
          <w:r>
            <w:rPr>
              <w:sz w:val="16"/>
              <w:szCs w:val="14"/>
            </w:rPr>
            <w:t>Privacy</w:t>
          </w:r>
          <w:r>
            <w:rPr>
              <w:sz w:val="16"/>
              <w:szCs w:val="14"/>
            </w:rPr>
            <w:t xml:space="preserve"> Policy</w:t>
          </w:r>
        </w:p>
      </w:tc>
      <w:tc>
        <w:tcPr>
          <w:tcW w:w="3005" w:type="dxa"/>
        </w:tcPr>
        <w:p>
          <w:pPr>
            <w:pStyle w:val="Footer"/>
            <w:rPr>
              <w:sz w:val="16"/>
              <w:szCs w:val="14"/>
            </w:rPr>
          </w:pPr>
        </w:p>
      </w:tc>
      <w:tc>
        <w:tcPr>
          <w:tcW w:w="3913" w:type="dxa"/>
        </w:tcPr>
        <w:p>
          <w:pPr>
            <w:pStyle w:val="Footer"/>
            <w:jc w:val="right"/>
            <w:rPr>
              <w:sz w:val="16"/>
              <w:szCs w:val="14"/>
            </w:rPr>
          </w:pPr>
          <w:r>
            <w:rPr>
              <w:sz w:val="16"/>
              <w:szCs w:val="14"/>
            </w:rPr>
            <w:t xml:space="preserve"> Page </w:t>
          </w:r>
          <w:r>
            <w:rPr>
              <w:sz w:val="16"/>
              <w:szCs w:val="14"/>
            </w:rPr>
            <w:fldChar w:fldCharType="begin"/>
          </w:r>
          <w:r>
            <w:rPr>
              <w:sz w:val="16"/>
              <w:szCs w:val="14"/>
            </w:rPr>
            <w:instrText xml:space="preserve"> PAGE   \* MERGEFORMAT </w:instrText>
          </w:r>
          <w:r>
            <w:rPr>
              <w:sz w:val="16"/>
              <w:szCs w:val="14"/>
            </w:rPr>
            <w:fldChar w:fldCharType="separate"/>
          </w:r>
          <w:r>
            <w:rPr>
              <w:noProof/>
              <w:sz w:val="16"/>
              <w:szCs w:val="14"/>
            </w:rPr>
            <w:t>1</w:t>
          </w:r>
          <w:r>
            <w:rPr>
              <w:noProof/>
              <w:sz w:val="16"/>
              <w:szCs w:val="14"/>
            </w:rPr>
            <w:fldChar w:fldCharType="end"/>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3F57C" w14:textId="77777777" w:rsidR="006B13A9" w:rsidRDefault="006B13A9" w:rsidP="00F97E79">
      <w:pPr>
        <w:spacing w:after="0" w:line="240" w:lineRule="auto"/>
      </w:pPr>
      <w:r>
        <w:separator/>
      </w:r>
    </w:p>
  </w:footnote>
  <w:footnote w:type="continuationSeparator" w:id="0">
    <w:p w14:paraId="45508037" w14:textId="77777777" w:rsidR="006B13A9" w:rsidRDefault="006B13A9" w:rsidP="00F97E79">
      <w:pPr>
        <w:spacing w:after="0" w:line="240" w:lineRule="auto"/>
      </w:pPr>
      <w:r>
        <w:continuationSeparator/>
      </w:r>
    </w:p>
  </w:footnote>
  <w:footnote w:type="continuationNotice" w:id="1">
    <w:p w14:paraId="6B846106" w14:textId="77777777" w:rsidR="006B13A9" w:rsidRDefault="006B13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A23"/>
    <w:multiLevelType w:val="hybridMultilevel"/>
    <w:tmpl w:val="68FCFC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1CE3B38"/>
    <w:multiLevelType w:val="multilevel"/>
    <w:tmpl w:val="C16E1FAC"/>
    <w:lvl w:ilvl="0">
      <w:start w:val="1"/>
      <w:numFmt w:val="decimal"/>
      <w:pStyle w:val="Heading2"/>
      <w:lvlText w:val="%1."/>
      <w:lvlJc w:val="left"/>
      <w:pPr>
        <w:ind w:left="720" w:hanging="360"/>
      </w:pPr>
      <w:rPr>
        <w:rFonts w:hint="default"/>
        <w:b w:val="0"/>
      </w:rPr>
    </w:lvl>
    <w:lvl w:ilvl="1">
      <w:start w:val="5"/>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1D633E"/>
    <w:multiLevelType w:val="multilevel"/>
    <w:tmpl w:val="37D2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E6812"/>
    <w:multiLevelType w:val="hybridMultilevel"/>
    <w:tmpl w:val="B6C2D82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22B36136"/>
    <w:multiLevelType w:val="multilevel"/>
    <w:tmpl w:val="47D2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B37F8"/>
    <w:multiLevelType w:val="multilevel"/>
    <w:tmpl w:val="11CACECE"/>
    <w:lvl w:ilvl="0">
      <w:start w:val="1"/>
      <w:numFmt w:val="decimal"/>
      <w:lvlText w:val="%1"/>
      <w:lvlJc w:val="left"/>
      <w:pPr>
        <w:ind w:left="720" w:hanging="360"/>
      </w:pPr>
      <w:rPr>
        <w:rFonts w:hint="default"/>
        <w:b w:val="0"/>
        <w:bCs w:val="0"/>
        <w:i w:val="0"/>
        <w:iCs/>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930003"/>
    <w:multiLevelType w:val="hybridMultilevel"/>
    <w:tmpl w:val="64D4B516"/>
    <w:lvl w:ilvl="0" w:tplc="0B66BA0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2F52010"/>
    <w:multiLevelType w:val="hybridMultilevel"/>
    <w:tmpl w:val="68FCFC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32F4EBB"/>
    <w:multiLevelType w:val="hybridMultilevel"/>
    <w:tmpl w:val="27F65FEE"/>
    <w:lvl w:ilvl="0" w:tplc="F0D4B610">
      <w:numFmt w:val="bullet"/>
      <w:lvlText w:val="–"/>
      <w:lvlJc w:val="left"/>
      <w:pPr>
        <w:ind w:left="720" w:hanging="360"/>
      </w:pPr>
      <w:rPr>
        <w:rFonts w:ascii="Georgia" w:eastAsiaTheme="minorHAnsi"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610CD"/>
    <w:multiLevelType w:val="hybridMultilevel"/>
    <w:tmpl w:val="68FCFC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8CF1B10"/>
    <w:multiLevelType w:val="hybridMultilevel"/>
    <w:tmpl w:val="2630847C"/>
    <w:lvl w:ilvl="0" w:tplc="78C460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26A1DA5"/>
    <w:multiLevelType w:val="hybridMultilevel"/>
    <w:tmpl w:val="FE8AB344"/>
    <w:lvl w:ilvl="0" w:tplc="78C460B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B32DF0"/>
    <w:multiLevelType w:val="multilevel"/>
    <w:tmpl w:val="DDD0099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3111C"/>
    <w:multiLevelType w:val="hybridMultilevel"/>
    <w:tmpl w:val="B6C2D82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4950E2A"/>
    <w:multiLevelType w:val="hybridMultilevel"/>
    <w:tmpl w:val="B6C2D82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5C7376A8"/>
    <w:multiLevelType w:val="hybridMultilevel"/>
    <w:tmpl w:val="29366A04"/>
    <w:lvl w:ilvl="0" w:tplc="24B4782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1BD4A8F"/>
    <w:multiLevelType w:val="hybridMultilevel"/>
    <w:tmpl w:val="C5BC33E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646008C0"/>
    <w:multiLevelType w:val="hybridMultilevel"/>
    <w:tmpl w:val="C5BC33E2"/>
    <w:lvl w:ilvl="0" w:tplc="D69A5CE2">
      <w:start w:val="1"/>
      <w:numFmt w:val="lowerLetter"/>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6C3D34C5"/>
    <w:multiLevelType w:val="hybridMultilevel"/>
    <w:tmpl w:val="68FCFC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71A75F09"/>
    <w:multiLevelType w:val="hybridMultilevel"/>
    <w:tmpl w:val="68FCFC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2242C10"/>
    <w:multiLevelType w:val="hybridMultilevel"/>
    <w:tmpl w:val="68FCFC82"/>
    <w:lvl w:ilvl="0" w:tplc="0B66BA0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515092B"/>
    <w:multiLevelType w:val="hybridMultilevel"/>
    <w:tmpl w:val="0B840A1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A076F4"/>
    <w:multiLevelType w:val="hybridMultilevel"/>
    <w:tmpl w:val="61DCB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0817823">
    <w:abstractNumId w:val="22"/>
  </w:num>
  <w:num w:numId="2" w16cid:durableId="2095124524">
    <w:abstractNumId w:val="5"/>
  </w:num>
  <w:num w:numId="3" w16cid:durableId="759184744">
    <w:abstractNumId w:val="6"/>
  </w:num>
  <w:num w:numId="4" w16cid:durableId="20670308">
    <w:abstractNumId w:val="10"/>
  </w:num>
  <w:num w:numId="5" w16cid:durableId="939874451">
    <w:abstractNumId w:val="15"/>
  </w:num>
  <w:num w:numId="6" w16cid:durableId="1469205021">
    <w:abstractNumId w:val="17"/>
  </w:num>
  <w:num w:numId="7" w16cid:durableId="266273837">
    <w:abstractNumId w:val="8"/>
  </w:num>
  <w:num w:numId="8" w16cid:durableId="1563446513">
    <w:abstractNumId w:val="11"/>
  </w:num>
  <w:num w:numId="9" w16cid:durableId="242569096">
    <w:abstractNumId w:val="1"/>
  </w:num>
  <w:num w:numId="10" w16cid:durableId="399720773">
    <w:abstractNumId w:val="4"/>
  </w:num>
  <w:num w:numId="11" w16cid:durableId="311176087">
    <w:abstractNumId w:val="12"/>
  </w:num>
  <w:num w:numId="12" w16cid:durableId="922489893">
    <w:abstractNumId w:val="20"/>
  </w:num>
  <w:num w:numId="13" w16cid:durableId="1991783036">
    <w:abstractNumId w:val="21"/>
  </w:num>
  <w:num w:numId="14" w16cid:durableId="967393554">
    <w:abstractNumId w:val="7"/>
  </w:num>
  <w:num w:numId="15" w16cid:durableId="1618902488">
    <w:abstractNumId w:val="0"/>
  </w:num>
  <w:num w:numId="16" w16cid:durableId="1404259586">
    <w:abstractNumId w:val="2"/>
  </w:num>
  <w:num w:numId="17" w16cid:durableId="446393107">
    <w:abstractNumId w:val="16"/>
  </w:num>
  <w:num w:numId="18" w16cid:durableId="490298540">
    <w:abstractNumId w:val="19"/>
  </w:num>
  <w:num w:numId="19" w16cid:durableId="1084033004">
    <w:abstractNumId w:val="9"/>
  </w:num>
  <w:num w:numId="20" w16cid:durableId="760029000">
    <w:abstractNumId w:val="18"/>
  </w:num>
  <w:num w:numId="21" w16cid:durableId="135225478">
    <w:abstractNumId w:val="1"/>
    <w:lvlOverride w:ilvl="0">
      <w:startOverride w:val="6"/>
    </w:lvlOverride>
    <w:lvlOverride w:ilvl="1">
      <w:startOverride w:val="4"/>
    </w:lvlOverride>
  </w:num>
  <w:num w:numId="22" w16cid:durableId="1311326756">
    <w:abstractNumId w:val="3"/>
  </w:num>
  <w:num w:numId="23" w16cid:durableId="457526375">
    <w:abstractNumId w:val="14"/>
  </w:num>
  <w:num w:numId="24" w16cid:durableId="138347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79"/>
    <w:rsid w:val="0000069A"/>
    <w:rsid w:val="000044E5"/>
    <w:rsid w:val="0001499E"/>
    <w:rsid w:val="00015F74"/>
    <w:rsid w:val="000231B9"/>
    <w:rsid w:val="000358E6"/>
    <w:rsid w:val="00035F3B"/>
    <w:rsid w:val="000403D4"/>
    <w:rsid w:val="00042BAE"/>
    <w:rsid w:val="000552FA"/>
    <w:rsid w:val="00055CC2"/>
    <w:rsid w:val="00057B76"/>
    <w:rsid w:val="000602B3"/>
    <w:rsid w:val="00066972"/>
    <w:rsid w:val="00093E0F"/>
    <w:rsid w:val="00094961"/>
    <w:rsid w:val="000A7C48"/>
    <w:rsid w:val="000B118D"/>
    <w:rsid w:val="000B4E0B"/>
    <w:rsid w:val="000C2930"/>
    <w:rsid w:val="000D22C3"/>
    <w:rsid w:val="000E14A4"/>
    <w:rsid w:val="000E6649"/>
    <w:rsid w:val="000F114E"/>
    <w:rsid w:val="000F1A2D"/>
    <w:rsid w:val="000F5757"/>
    <w:rsid w:val="001006B4"/>
    <w:rsid w:val="001168BC"/>
    <w:rsid w:val="001223EF"/>
    <w:rsid w:val="0012306C"/>
    <w:rsid w:val="00125794"/>
    <w:rsid w:val="001270B3"/>
    <w:rsid w:val="00130F5D"/>
    <w:rsid w:val="0013274C"/>
    <w:rsid w:val="001341FD"/>
    <w:rsid w:val="00137206"/>
    <w:rsid w:val="001468E4"/>
    <w:rsid w:val="0014749E"/>
    <w:rsid w:val="001521A5"/>
    <w:rsid w:val="00155AEB"/>
    <w:rsid w:val="00162591"/>
    <w:rsid w:val="00164E63"/>
    <w:rsid w:val="00170A73"/>
    <w:rsid w:val="00185244"/>
    <w:rsid w:val="00193CC2"/>
    <w:rsid w:val="001A220A"/>
    <w:rsid w:val="001A48B4"/>
    <w:rsid w:val="001B234B"/>
    <w:rsid w:val="001B7A79"/>
    <w:rsid w:val="001C2549"/>
    <w:rsid w:val="001C3E08"/>
    <w:rsid w:val="001D4F1B"/>
    <w:rsid w:val="001E0CD4"/>
    <w:rsid w:val="001E5970"/>
    <w:rsid w:val="001F2444"/>
    <w:rsid w:val="001F7E2C"/>
    <w:rsid w:val="00202846"/>
    <w:rsid w:val="00205999"/>
    <w:rsid w:val="00211738"/>
    <w:rsid w:val="00222EB0"/>
    <w:rsid w:val="00234AE7"/>
    <w:rsid w:val="00247CED"/>
    <w:rsid w:val="00260460"/>
    <w:rsid w:val="002639F6"/>
    <w:rsid w:val="00267C54"/>
    <w:rsid w:val="00271251"/>
    <w:rsid w:val="00272BF8"/>
    <w:rsid w:val="00274A17"/>
    <w:rsid w:val="00276A6E"/>
    <w:rsid w:val="00280F97"/>
    <w:rsid w:val="00285207"/>
    <w:rsid w:val="00285D53"/>
    <w:rsid w:val="002A03AA"/>
    <w:rsid w:val="002A7AC5"/>
    <w:rsid w:val="002B6B11"/>
    <w:rsid w:val="002C6F77"/>
    <w:rsid w:val="002D2163"/>
    <w:rsid w:val="002D47A2"/>
    <w:rsid w:val="002D7B30"/>
    <w:rsid w:val="002E0495"/>
    <w:rsid w:val="002F2BBC"/>
    <w:rsid w:val="002F61FB"/>
    <w:rsid w:val="002F7926"/>
    <w:rsid w:val="003001A4"/>
    <w:rsid w:val="0030208B"/>
    <w:rsid w:val="00311474"/>
    <w:rsid w:val="00311D21"/>
    <w:rsid w:val="00311E21"/>
    <w:rsid w:val="003203C3"/>
    <w:rsid w:val="00324539"/>
    <w:rsid w:val="00327906"/>
    <w:rsid w:val="003321D6"/>
    <w:rsid w:val="00333A48"/>
    <w:rsid w:val="003353E0"/>
    <w:rsid w:val="00343147"/>
    <w:rsid w:val="003507D8"/>
    <w:rsid w:val="003543CD"/>
    <w:rsid w:val="00355A04"/>
    <w:rsid w:val="00361202"/>
    <w:rsid w:val="00364439"/>
    <w:rsid w:val="003668C9"/>
    <w:rsid w:val="00372F2F"/>
    <w:rsid w:val="0037591C"/>
    <w:rsid w:val="00376193"/>
    <w:rsid w:val="003761EA"/>
    <w:rsid w:val="00382EC3"/>
    <w:rsid w:val="00391119"/>
    <w:rsid w:val="00392F94"/>
    <w:rsid w:val="003A0C6E"/>
    <w:rsid w:val="003B4A55"/>
    <w:rsid w:val="003B4CFA"/>
    <w:rsid w:val="003D7438"/>
    <w:rsid w:val="003E22E3"/>
    <w:rsid w:val="003E51D6"/>
    <w:rsid w:val="003F06CF"/>
    <w:rsid w:val="003F163B"/>
    <w:rsid w:val="003F46B3"/>
    <w:rsid w:val="003F491D"/>
    <w:rsid w:val="003F4939"/>
    <w:rsid w:val="003F79F1"/>
    <w:rsid w:val="00400D84"/>
    <w:rsid w:val="00415A41"/>
    <w:rsid w:val="00416E4B"/>
    <w:rsid w:val="00422FBA"/>
    <w:rsid w:val="00424A6A"/>
    <w:rsid w:val="00425F60"/>
    <w:rsid w:val="00426276"/>
    <w:rsid w:val="004268DE"/>
    <w:rsid w:val="00426FFC"/>
    <w:rsid w:val="004343E8"/>
    <w:rsid w:val="004435D4"/>
    <w:rsid w:val="00447BAF"/>
    <w:rsid w:val="00450F1C"/>
    <w:rsid w:val="004543CB"/>
    <w:rsid w:val="00455E9A"/>
    <w:rsid w:val="00460D72"/>
    <w:rsid w:val="00460F4C"/>
    <w:rsid w:val="00465409"/>
    <w:rsid w:val="004726B6"/>
    <w:rsid w:val="004742AE"/>
    <w:rsid w:val="0047647F"/>
    <w:rsid w:val="00483857"/>
    <w:rsid w:val="00484B5F"/>
    <w:rsid w:val="00486D41"/>
    <w:rsid w:val="00487B3C"/>
    <w:rsid w:val="00490802"/>
    <w:rsid w:val="0049096A"/>
    <w:rsid w:val="004914C9"/>
    <w:rsid w:val="00492471"/>
    <w:rsid w:val="00493383"/>
    <w:rsid w:val="00495725"/>
    <w:rsid w:val="004A0E6A"/>
    <w:rsid w:val="004B59CD"/>
    <w:rsid w:val="004C176F"/>
    <w:rsid w:val="004D2C95"/>
    <w:rsid w:val="004D30BF"/>
    <w:rsid w:val="004D5CD3"/>
    <w:rsid w:val="004D7A9B"/>
    <w:rsid w:val="004E4321"/>
    <w:rsid w:val="00500377"/>
    <w:rsid w:val="00505157"/>
    <w:rsid w:val="005129D4"/>
    <w:rsid w:val="00516496"/>
    <w:rsid w:val="00532CC6"/>
    <w:rsid w:val="005362C7"/>
    <w:rsid w:val="00536895"/>
    <w:rsid w:val="0054772A"/>
    <w:rsid w:val="005650B6"/>
    <w:rsid w:val="005774CA"/>
    <w:rsid w:val="005810F1"/>
    <w:rsid w:val="00582C9B"/>
    <w:rsid w:val="00583ABE"/>
    <w:rsid w:val="00597DC9"/>
    <w:rsid w:val="005A0A7A"/>
    <w:rsid w:val="005A299A"/>
    <w:rsid w:val="005B4ACA"/>
    <w:rsid w:val="005B4C57"/>
    <w:rsid w:val="005C33C5"/>
    <w:rsid w:val="005C6157"/>
    <w:rsid w:val="005C7FA0"/>
    <w:rsid w:val="005D038E"/>
    <w:rsid w:val="005D6F15"/>
    <w:rsid w:val="005E38D9"/>
    <w:rsid w:val="005E4CAC"/>
    <w:rsid w:val="005F37F6"/>
    <w:rsid w:val="005F3C48"/>
    <w:rsid w:val="005F6A67"/>
    <w:rsid w:val="0060238A"/>
    <w:rsid w:val="00603326"/>
    <w:rsid w:val="00605D97"/>
    <w:rsid w:val="006068FB"/>
    <w:rsid w:val="00617203"/>
    <w:rsid w:val="0062207A"/>
    <w:rsid w:val="006274AA"/>
    <w:rsid w:val="00630142"/>
    <w:rsid w:val="0063333A"/>
    <w:rsid w:val="00636E00"/>
    <w:rsid w:val="00661C0C"/>
    <w:rsid w:val="00664B92"/>
    <w:rsid w:val="00665D27"/>
    <w:rsid w:val="0066726E"/>
    <w:rsid w:val="006724BC"/>
    <w:rsid w:val="00672727"/>
    <w:rsid w:val="00673086"/>
    <w:rsid w:val="00673282"/>
    <w:rsid w:val="00674513"/>
    <w:rsid w:val="00674EFB"/>
    <w:rsid w:val="006811D8"/>
    <w:rsid w:val="00696D66"/>
    <w:rsid w:val="006970B4"/>
    <w:rsid w:val="006A1AB7"/>
    <w:rsid w:val="006A28A1"/>
    <w:rsid w:val="006A6883"/>
    <w:rsid w:val="006B13A9"/>
    <w:rsid w:val="006C0530"/>
    <w:rsid w:val="006C14E8"/>
    <w:rsid w:val="006C1966"/>
    <w:rsid w:val="006C21F6"/>
    <w:rsid w:val="006C3C3A"/>
    <w:rsid w:val="006C4BF5"/>
    <w:rsid w:val="006D5FED"/>
    <w:rsid w:val="006D6883"/>
    <w:rsid w:val="006D7FC4"/>
    <w:rsid w:val="006F4F97"/>
    <w:rsid w:val="007005B8"/>
    <w:rsid w:val="007032A8"/>
    <w:rsid w:val="007175E6"/>
    <w:rsid w:val="007218B5"/>
    <w:rsid w:val="00732D8D"/>
    <w:rsid w:val="00755C29"/>
    <w:rsid w:val="00760F97"/>
    <w:rsid w:val="00771606"/>
    <w:rsid w:val="00790BAF"/>
    <w:rsid w:val="007A3D17"/>
    <w:rsid w:val="007A681C"/>
    <w:rsid w:val="007B1BC8"/>
    <w:rsid w:val="007C1BA3"/>
    <w:rsid w:val="007E3334"/>
    <w:rsid w:val="007F0BB9"/>
    <w:rsid w:val="007F4799"/>
    <w:rsid w:val="00800EB0"/>
    <w:rsid w:val="0080520B"/>
    <w:rsid w:val="00806260"/>
    <w:rsid w:val="00812CB6"/>
    <w:rsid w:val="00813F88"/>
    <w:rsid w:val="008148D1"/>
    <w:rsid w:val="008205D3"/>
    <w:rsid w:val="00825165"/>
    <w:rsid w:val="0084386E"/>
    <w:rsid w:val="008507A5"/>
    <w:rsid w:val="00852F97"/>
    <w:rsid w:val="00853478"/>
    <w:rsid w:val="00855D68"/>
    <w:rsid w:val="008603A0"/>
    <w:rsid w:val="00873D84"/>
    <w:rsid w:val="00895457"/>
    <w:rsid w:val="008A36F5"/>
    <w:rsid w:val="008A4A05"/>
    <w:rsid w:val="008A69AC"/>
    <w:rsid w:val="008C3D06"/>
    <w:rsid w:val="008D1B39"/>
    <w:rsid w:val="008D237E"/>
    <w:rsid w:val="008D7F11"/>
    <w:rsid w:val="008E2D60"/>
    <w:rsid w:val="008E4880"/>
    <w:rsid w:val="00900853"/>
    <w:rsid w:val="00902602"/>
    <w:rsid w:val="0090337F"/>
    <w:rsid w:val="00917328"/>
    <w:rsid w:val="00927841"/>
    <w:rsid w:val="0093250D"/>
    <w:rsid w:val="0093309D"/>
    <w:rsid w:val="009342FE"/>
    <w:rsid w:val="00936214"/>
    <w:rsid w:val="009446DA"/>
    <w:rsid w:val="009459C2"/>
    <w:rsid w:val="00956718"/>
    <w:rsid w:val="00963259"/>
    <w:rsid w:val="00970CE9"/>
    <w:rsid w:val="00971B9E"/>
    <w:rsid w:val="009748A7"/>
    <w:rsid w:val="00975B63"/>
    <w:rsid w:val="0098254D"/>
    <w:rsid w:val="0099572A"/>
    <w:rsid w:val="009A6BA5"/>
    <w:rsid w:val="009B0153"/>
    <w:rsid w:val="009B582F"/>
    <w:rsid w:val="009B5AEB"/>
    <w:rsid w:val="009D06F1"/>
    <w:rsid w:val="009D3771"/>
    <w:rsid w:val="009D5A07"/>
    <w:rsid w:val="009E01CF"/>
    <w:rsid w:val="009E1807"/>
    <w:rsid w:val="009E1961"/>
    <w:rsid w:val="009E2380"/>
    <w:rsid w:val="009F2AAB"/>
    <w:rsid w:val="009F2E0F"/>
    <w:rsid w:val="009F4418"/>
    <w:rsid w:val="009F7916"/>
    <w:rsid w:val="00A00459"/>
    <w:rsid w:val="00A03365"/>
    <w:rsid w:val="00A11355"/>
    <w:rsid w:val="00A15A5C"/>
    <w:rsid w:val="00A219FD"/>
    <w:rsid w:val="00A26C65"/>
    <w:rsid w:val="00A36781"/>
    <w:rsid w:val="00A37820"/>
    <w:rsid w:val="00A37BEE"/>
    <w:rsid w:val="00A40561"/>
    <w:rsid w:val="00A52BDE"/>
    <w:rsid w:val="00A56004"/>
    <w:rsid w:val="00A63477"/>
    <w:rsid w:val="00A72567"/>
    <w:rsid w:val="00A8547C"/>
    <w:rsid w:val="00A910F7"/>
    <w:rsid w:val="00A94EBD"/>
    <w:rsid w:val="00AA3AAA"/>
    <w:rsid w:val="00AA778A"/>
    <w:rsid w:val="00AB1F07"/>
    <w:rsid w:val="00AC1817"/>
    <w:rsid w:val="00AD1FA7"/>
    <w:rsid w:val="00AD35DD"/>
    <w:rsid w:val="00AD4D84"/>
    <w:rsid w:val="00AE0FFF"/>
    <w:rsid w:val="00B04D76"/>
    <w:rsid w:val="00B05FFE"/>
    <w:rsid w:val="00B12251"/>
    <w:rsid w:val="00B1656E"/>
    <w:rsid w:val="00B16573"/>
    <w:rsid w:val="00B2116E"/>
    <w:rsid w:val="00B213D9"/>
    <w:rsid w:val="00B21E20"/>
    <w:rsid w:val="00B26011"/>
    <w:rsid w:val="00B31AAB"/>
    <w:rsid w:val="00B34AF0"/>
    <w:rsid w:val="00B4449E"/>
    <w:rsid w:val="00B45EB5"/>
    <w:rsid w:val="00B535A4"/>
    <w:rsid w:val="00B57919"/>
    <w:rsid w:val="00B603E7"/>
    <w:rsid w:val="00B60A54"/>
    <w:rsid w:val="00B66623"/>
    <w:rsid w:val="00B7227F"/>
    <w:rsid w:val="00B734F6"/>
    <w:rsid w:val="00B75D39"/>
    <w:rsid w:val="00B80C66"/>
    <w:rsid w:val="00B81BC7"/>
    <w:rsid w:val="00B826A2"/>
    <w:rsid w:val="00B961AC"/>
    <w:rsid w:val="00BB6C7B"/>
    <w:rsid w:val="00BC03D0"/>
    <w:rsid w:val="00BD3390"/>
    <w:rsid w:val="00BE49E4"/>
    <w:rsid w:val="00BF6A39"/>
    <w:rsid w:val="00C03B54"/>
    <w:rsid w:val="00C07E64"/>
    <w:rsid w:val="00C1321E"/>
    <w:rsid w:val="00C16F7C"/>
    <w:rsid w:val="00C27CE9"/>
    <w:rsid w:val="00C37B08"/>
    <w:rsid w:val="00C40F4B"/>
    <w:rsid w:val="00C4592D"/>
    <w:rsid w:val="00C45F3A"/>
    <w:rsid w:val="00C5141A"/>
    <w:rsid w:val="00C51ED3"/>
    <w:rsid w:val="00C57AA2"/>
    <w:rsid w:val="00C72332"/>
    <w:rsid w:val="00C77668"/>
    <w:rsid w:val="00C80AD4"/>
    <w:rsid w:val="00C82C81"/>
    <w:rsid w:val="00C833DF"/>
    <w:rsid w:val="00C84452"/>
    <w:rsid w:val="00C86B80"/>
    <w:rsid w:val="00C94D78"/>
    <w:rsid w:val="00C973F2"/>
    <w:rsid w:val="00CA33D4"/>
    <w:rsid w:val="00CA3C07"/>
    <w:rsid w:val="00CC5190"/>
    <w:rsid w:val="00CD277D"/>
    <w:rsid w:val="00CD43FE"/>
    <w:rsid w:val="00CD5947"/>
    <w:rsid w:val="00CD64E0"/>
    <w:rsid w:val="00CE3948"/>
    <w:rsid w:val="00CE4BFB"/>
    <w:rsid w:val="00CF0367"/>
    <w:rsid w:val="00CF7C4D"/>
    <w:rsid w:val="00D034D4"/>
    <w:rsid w:val="00D03890"/>
    <w:rsid w:val="00D07716"/>
    <w:rsid w:val="00D219F9"/>
    <w:rsid w:val="00D25ABD"/>
    <w:rsid w:val="00D275F5"/>
    <w:rsid w:val="00D330DE"/>
    <w:rsid w:val="00D338F7"/>
    <w:rsid w:val="00D35703"/>
    <w:rsid w:val="00D37A61"/>
    <w:rsid w:val="00D57722"/>
    <w:rsid w:val="00D63378"/>
    <w:rsid w:val="00D64A9D"/>
    <w:rsid w:val="00D74D34"/>
    <w:rsid w:val="00D7586E"/>
    <w:rsid w:val="00D85E44"/>
    <w:rsid w:val="00D87638"/>
    <w:rsid w:val="00D901D1"/>
    <w:rsid w:val="00D95968"/>
    <w:rsid w:val="00D97CF2"/>
    <w:rsid w:val="00DA0A22"/>
    <w:rsid w:val="00DB0E05"/>
    <w:rsid w:val="00DB15CC"/>
    <w:rsid w:val="00DC4566"/>
    <w:rsid w:val="00DD4CC1"/>
    <w:rsid w:val="00DE42A9"/>
    <w:rsid w:val="00DE4D00"/>
    <w:rsid w:val="00DE5A77"/>
    <w:rsid w:val="00DE7D2F"/>
    <w:rsid w:val="00DF080C"/>
    <w:rsid w:val="00E10456"/>
    <w:rsid w:val="00E14828"/>
    <w:rsid w:val="00E20514"/>
    <w:rsid w:val="00E25291"/>
    <w:rsid w:val="00E3766F"/>
    <w:rsid w:val="00E377EB"/>
    <w:rsid w:val="00E476ED"/>
    <w:rsid w:val="00E528FA"/>
    <w:rsid w:val="00E53D29"/>
    <w:rsid w:val="00E561F1"/>
    <w:rsid w:val="00E5705E"/>
    <w:rsid w:val="00E656C2"/>
    <w:rsid w:val="00E73A00"/>
    <w:rsid w:val="00E77AAD"/>
    <w:rsid w:val="00E81DFE"/>
    <w:rsid w:val="00E94D80"/>
    <w:rsid w:val="00EA0A70"/>
    <w:rsid w:val="00EA0A79"/>
    <w:rsid w:val="00EA5AD8"/>
    <w:rsid w:val="00EB2077"/>
    <w:rsid w:val="00EB2289"/>
    <w:rsid w:val="00EC15F3"/>
    <w:rsid w:val="00ED7288"/>
    <w:rsid w:val="00EE0774"/>
    <w:rsid w:val="00EE2692"/>
    <w:rsid w:val="00EE4344"/>
    <w:rsid w:val="00EF069B"/>
    <w:rsid w:val="00EF7452"/>
    <w:rsid w:val="00F01672"/>
    <w:rsid w:val="00F06413"/>
    <w:rsid w:val="00F213C4"/>
    <w:rsid w:val="00F22577"/>
    <w:rsid w:val="00F22B39"/>
    <w:rsid w:val="00F25E0B"/>
    <w:rsid w:val="00F26243"/>
    <w:rsid w:val="00F457C2"/>
    <w:rsid w:val="00F56277"/>
    <w:rsid w:val="00F665C3"/>
    <w:rsid w:val="00F86B18"/>
    <w:rsid w:val="00F90409"/>
    <w:rsid w:val="00F962E6"/>
    <w:rsid w:val="00F972EA"/>
    <w:rsid w:val="00F97E79"/>
    <w:rsid w:val="00FB323D"/>
    <w:rsid w:val="00FB524F"/>
    <w:rsid w:val="00FC7E10"/>
    <w:rsid w:val="00FD3AB6"/>
    <w:rsid w:val="00FF1E31"/>
    <w:rsid w:val="2107CF52"/>
    <w:rsid w:val="2E221327"/>
    <w:rsid w:val="2E36164E"/>
    <w:rsid w:val="2E786F52"/>
    <w:rsid w:val="318DC320"/>
    <w:rsid w:val="40D908B7"/>
    <w:rsid w:val="413F9196"/>
    <w:rsid w:val="4FE8F3C0"/>
    <w:rsid w:val="5757E77B"/>
    <w:rsid w:val="6295783F"/>
    <w:rsid w:val="7E3411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35731"/>
  <w15:chartTrackingRefBased/>
  <w15:docId w15:val="{A4351F39-8226-4B2C-AEE6-41049FD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484B5F"/>
    <w:pPr>
      <w:keepNext/>
      <w:numPr>
        <w:numId w:val="9"/>
      </w:numPr>
      <w:spacing w:after="120" w:line="240" w:lineRule="auto"/>
      <w:ind w:left="851" w:right="-188" w:hanging="851"/>
      <w:outlineLvl w:val="1"/>
    </w:pPr>
    <w:rPr>
      <w:rFonts w:ascii="Arial" w:eastAsia="Times New Roman" w:hAnsi="Arial" w:cs="Arial"/>
      <w:bCs/>
      <w:iCs/>
      <w:color w:val="7395B3"/>
      <w:sz w:val="32"/>
      <w:szCs w:val="32"/>
      <w:lang w:eastAsia="en-AU"/>
    </w:rPr>
  </w:style>
  <w:style w:type="paragraph" w:styleId="Heading3">
    <w:name w:val="heading 3"/>
    <w:basedOn w:val="Normal"/>
    <w:next w:val="Heading4"/>
    <w:link w:val="Heading3Char"/>
    <w:autoRedefine/>
    <w:qFormat/>
    <w:rsid w:val="00247CED"/>
    <w:pPr>
      <w:keepNext/>
      <w:tabs>
        <w:tab w:val="num" w:pos="142"/>
      </w:tabs>
      <w:spacing w:after="0" w:line="240" w:lineRule="auto"/>
      <w:ind w:left="851" w:hanging="851"/>
      <w:outlineLvl w:val="2"/>
    </w:pPr>
    <w:rPr>
      <w:rFonts w:ascii="Arial" w:eastAsia="Times New Roman" w:hAnsi="Arial" w:cs="Arial"/>
      <w:b/>
      <w:bCs/>
      <w:color w:val="06162F"/>
      <w:sz w:val="24"/>
      <w:szCs w:val="24"/>
      <w:lang w:eastAsia="en-AU"/>
    </w:rPr>
  </w:style>
  <w:style w:type="paragraph" w:styleId="Heading4">
    <w:name w:val="heading 4"/>
    <w:basedOn w:val="Normal"/>
    <w:next w:val="Normal"/>
    <w:link w:val="Heading4Char"/>
    <w:uiPriority w:val="9"/>
    <w:semiHidden/>
    <w:unhideWhenUsed/>
    <w:qFormat/>
    <w:rsid w:val="00F97E79"/>
    <w:pPr>
      <w:keepNext/>
      <w:keepLines/>
      <w:spacing w:before="40" w:after="0"/>
      <w:outlineLvl w:val="3"/>
    </w:pPr>
    <w:rPr>
      <w:rFonts w:asciiTheme="majorHAnsi" w:eastAsiaTheme="majorEastAsia" w:hAnsiTheme="majorHAnsi" w:cstheme="majorBidi"/>
      <w:i/>
      <w:iCs/>
      <w:color w:val="862F2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E79"/>
    <w:rPr>
      <w:color w:val="7395B3" w:themeColor="hyperlink"/>
      <w:u w:val="single"/>
    </w:rPr>
  </w:style>
  <w:style w:type="paragraph" w:styleId="TOC3">
    <w:name w:val="toc 3"/>
    <w:basedOn w:val="Normal"/>
    <w:next w:val="Normal"/>
    <w:uiPriority w:val="39"/>
    <w:qFormat/>
    <w:rsid w:val="00F97E79"/>
    <w:pPr>
      <w:tabs>
        <w:tab w:val="left" w:pos="567"/>
        <w:tab w:val="left" w:pos="1134"/>
        <w:tab w:val="right" w:pos="7655"/>
      </w:tabs>
      <w:spacing w:after="0" w:line="270" w:lineRule="atLeast"/>
      <w:ind w:left="1134" w:hanging="567"/>
    </w:pPr>
    <w:rPr>
      <w:rFonts w:ascii="Ebrima" w:eastAsia="Times New Roman" w:hAnsi="Ebrima" w:cs="Times New Roman"/>
      <w:noProof/>
      <w:sz w:val="20"/>
      <w:lang w:eastAsia="en-AU"/>
    </w:rPr>
  </w:style>
  <w:style w:type="paragraph" w:styleId="TOC2">
    <w:name w:val="toc 2"/>
    <w:basedOn w:val="Normal"/>
    <w:next w:val="Normal"/>
    <w:uiPriority w:val="39"/>
    <w:qFormat/>
    <w:rsid w:val="00F97E79"/>
    <w:pPr>
      <w:keepNext/>
      <w:pBdr>
        <w:bottom w:val="single" w:sz="4" w:space="1" w:color="auto"/>
        <w:between w:val="single" w:sz="2" w:space="1" w:color="auto"/>
      </w:pBdr>
      <w:tabs>
        <w:tab w:val="left" w:pos="567"/>
        <w:tab w:val="right" w:pos="7655"/>
      </w:tabs>
      <w:spacing w:before="113" w:after="85" w:line="240" w:lineRule="atLeast"/>
      <w:ind w:left="567" w:hanging="567"/>
    </w:pPr>
    <w:rPr>
      <w:rFonts w:ascii="Ebrima" w:eastAsia="Times New Roman" w:hAnsi="Ebrima" w:cs="Times New Roman"/>
      <w:b/>
      <w:noProof/>
      <w:sz w:val="20"/>
      <w:lang w:eastAsia="en-AU"/>
    </w:rPr>
  </w:style>
  <w:style w:type="paragraph" w:styleId="ListParagraph">
    <w:name w:val="List Paragraph"/>
    <w:basedOn w:val="Normal"/>
    <w:link w:val="ListParagraphChar"/>
    <w:uiPriority w:val="34"/>
    <w:qFormat/>
    <w:rsid w:val="00F97E79"/>
    <w:pPr>
      <w:spacing w:after="0" w:line="240" w:lineRule="auto"/>
      <w:ind w:left="720" w:hanging="720"/>
      <w:contextualSpacing/>
    </w:pPr>
    <w:rPr>
      <w:rFonts w:ascii="Georgia" w:hAnsi="Georgia"/>
    </w:rPr>
  </w:style>
  <w:style w:type="character" w:customStyle="1" w:styleId="ListParagraphChar">
    <w:name w:val="List Paragraph Char"/>
    <w:basedOn w:val="DefaultParagraphFont"/>
    <w:link w:val="ListParagraph"/>
    <w:uiPriority w:val="34"/>
    <w:rsid w:val="00F97E79"/>
    <w:rPr>
      <w:rFonts w:ascii="Georgia" w:hAnsi="Georgia"/>
    </w:rPr>
  </w:style>
  <w:style w:type="paragraph" w:styleId="Header">
    <w:name w:val="header"/>
    <w:basedOn w:val="Normal"/>
    <w:link w:val="HeaderChar"/>
    <w:uiPriority w:val="99"/>
    <w:unhideWhenUsed/>
    <w:rsid w:val="00F9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79"/>
  </w:style>
  <w:style w:type="paragraph" w:styleId="Footer">
    <w:name w:val="footer"/>
    <w:basedOn w:val="Normal"/>
    <w:link w:val="FooterChar"/>
    <w:uiPriority w:val="99"/>
    <w:unhideWhenUsed/>
    <w:rsid w:val="00F97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79"/>
  </w:style>
  <w:style w:type="character" w:customStyle="1" w:styleId="Heading2Char">
    <w:name w:val="Heading 2 Char"/>
    <w:basedOn w:val="DefaultParagraphFont"/>
    <w:link w:val="Heading2"/>
    <w:rsid w:val="00484B5F"/>
    <w:rPr>
      <w:rFonts w:ascii="Arial" w:eastAsia="Times New Roman" w:hAnsi="Arial" w:cs="Arial"/>
      <w:bCs/>
      <w:iCs/>
      <w:color w:val="7395B3"/>
      <w:sz w:val="32"/>
      <w:szCs w:val="32"/>
      <w:lang w:eastAsia="en-AU"/>
    </w:rPr>
  </w:style>
  <w:style w:type="character" w:customStyle="1" w:styleId="Heading3Char">
    <w:name w:val="Heading 3 Char"/>
    <w:basedOn w:val="DefaultParagraphFont"/>
    <w:link w:val="Heading3"/>
    <w:rsid w:val="00247CED"/>
    <w:rPr>
      <w:rFonts w:ascii="Arial" w:eastAsia="Times New Roman" w:hAnsi="Arial" w:cs="Arial"/>
      <w:b/>
      <w:bCs/>
      <w:color w:val="06162F"/>
      <w:sz w:val="24"/>
      <w:szCs w:val="24"/>
      <w:lang w:eastAsia="en-AU"/>
    </w:rPr>
  </w:style>
  <w:style w:type="character" w:customStyle="1" w:styleId="Heading4Char">
    <w:name w:val="Heading 4 Char"/>
    <w:basedOn w:val="DefaultParagraphFont"/>
    <w:link w:val="Heading4"/>
    <w:uiPriority w:val="9"/>
    <w:semiHidden/>
    <w:rsid w:val="00F97E79"/>
    <w:rPr>
      <w:rFonts w:asciiTheme="majorHAnsi" w:eastAsiaTheme="majorEastAsia" w:hAnsiTheme="majorHAnsi" w:cstheme="majorBidi"/>
      <w:i/>
      <w:iCs/>
      <w:color w:val="862F2D" w:themeColor="accent1" w:themeShade="BF"/>
    </w:rPr>
  </w:style>
  <w:style w:type="paragraph" w:customStyle="1" w:styleId="DocTitle">
    <w:name w:val="DocTitle"/>
    <w:basedOn w:val="Normal"/>
    <w:next w:val="Normal"/>
    <w:uiPriority w:val="30"/>
    <w:unhideWhenUsed/>
    <w:rsid w:val="00B1656E"/>
    <w:pPr>
      <w:spacing w:before="960" w:after="0" w:line="760" w:lineRule="atLeast"/>
    </w:pPr>
    <w:rPr>
      <w:rFonts w:ascii="Georgia" w:eastAsia="Times New Roman" w:hAnsi="Georgia" w:cs="Times New Roman"/>
      <w:color w:val="E65F14"/>
      <w:sz w:val="80"/>
      <w:szCs w:val="20"/>
      <w:lang w:eastAsia="en-AU"/>
    </w:rPr>
  </w:style>
  <w:style w:type="character" w:styleId="PageNumber">
    <w:name w:val="page number"/>
    <w:basedOn w:val="DefaultParagraphFont"/>
    <w:uiPriority w:val="37"/>
    <w:unhideWhenUsed/>
    <w:rsid w:val="00C51ED3"/>
    <w:rPr>
      <w:rFonts w:ascii="Arial" w:hAnsi="Arial"/>
    </w:rPr>
  </w:style>
  <w:style w:type="paragraph" w:customStyle="1" w:styleId="paragraph">
    <w:name w:val="paragraph"/>
    <w:basedOn w:val="Normal"/>
    <w:rsid w:val="00035F3B"/>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035F3B"/>
  </w:style>
  <w:style w:type="character" w:customStyle="1" w:styleId="eop">
    <w:name w:val="eop"/>
    <w:basedOn w:val="DefaultParagraphFont"/>
    <w:rsid w:val="00035F3B"/>
  </w:style>
  <w:style w:type="character" w:customStyle="1" w:styleId="findhit">
    <w:name w:val="findhit"/>
    <w:basedOn w:val="DefaultParagraphFont"/>
    <w:rsid w:val="00035F3B"/>
  </w:style>
  <w:style w:type="paragraph" w:styleId="Revision">
    <w:name w:val="Revision"/>
    <w:hidden/>
    <w:uiPriority w:val="99"/>
    <w:semiHidden/>
    <w:rsid w:val="005D038E"/>
    <w:pPr>
      <w:spacing w:after="0" w:line="240" w:lineRule="auto"/>
    </w:pPr>
  </w:style>
  <w:style w:type="character" w:styleId="CommentReference">
    <w:name w:val="annotation reference"/>
    <w:basedOn w:val="DefaultParagraphFont"/>
    <w:uiPriority w:val="99"/>
    <w:semiHidden/>
    <w:unhideWhenUsed/>
    <w:rsid w:val="009F7916"/>
    <w:rPr>
      <w:sz w:val="16"/>
      <w:szCs w:val="16"/>
    </w:rPr>
  </w:style>
  <w:style w:type="paragraph" w:styleId="CommentText">
    <w:name w:val="annotation text"/>
    <w:basedOn w:val="Normal"/>
    <w:link w:val="CommentTextChar"/>
    <w:uiPriority w:val="99"/>
    <w:unhideWhenUsed/>
    <w:rsid w:val="009F7916"/>
    <w:pPr>
      <w:spacing w:line="240" w:lineRule="auto"/>
    </w:pPr>
    <w:rPr>
      <w:sz w:val="20"/>
      <w:szCs w:val="20"/>
    </w:rPr>
  </w:style>
  <w:style w:type="character" w:customStyle="1" w:styleId="CommentTextChar">
    <w:name w:val="Comment Text Char"/>
    <w:basedOn w:val="DefaultParagraphFont"/>
    <w:link w:val="CommentText"/>
    <w:uiPriority w:val="99"/>
    <w:rsid w:val="009F7916"/>
    <w:rPr>
      <w:sz w:val="20"/>
      <w:szCs w:val="20"/>
    </w:rPr>
  </w:style>
  <w:style w:type="paragraph" w:styleId="CommentSubject">
    <w:name w:val="annotation subject"/>
    <w:basedOn w:val="CommentText"/>
    <w:next w:val="CommentText"/>
    <w:link w:val="CommentSubjectChar"/>
    <w:uiPriority w:val="99"/>
    <w:semiHidden/>
    <w:unhideWhenUsed/>
    <w:rsid w:val="009F7916"/>
    <w:rPr>
      <w:b/>
      <w:bCs/>
    </w:rPr>
  </w:style>
  <w:style w:type="character" w:customStyle="1" w:styleId="CommentSubjectChar">
    <w:name w:val="Comment Subject Char"/>
    <w:basedOn w:val="CommentTextChar"/>
    <w:link w:val="CommentSubject"/>
    <w:uiPriority w:val="99"/>
    <w:semiHidden/>
    <w:rsid w:val="009F7916"/>
    <w:rPr>
      <w:b/>
      <w:bCs/>
      <w:sz w:val="20"/>
      <w:szCs w:val="20"/>
    </w:rPr>
  </w:style>
  <w:style w:type="character" w:customStyle="1" w:styleId="normaltextrun0">
    <w:name w:val="normaltextrun0"/>
    <w:basedOn w:val="DefaultParagraphFont"/>
    <w:rsid w:val="00C84452"/>
  </w:style>
  <w:style w:type="character" w:customStyle="1" w:styleId="eop0">
    <w:name w:val="eop0"/>
    <w:basedOn w:val="DefaultParagraphFont"/>
    <w:rsid w:val="00C84452"/>
  </w:style>
  <w:style w:type="table" w:customStyle="1" w:styleId="TableNoGrid0">
    <w:name w:val="TableNoGrid0"/>
    <w:basedOn w:val="TableNormal"/>
    <w:rsid w:val="00C84452"/>
    <w:pPr>
      <w:spacing w:after="0" w:line="240" w:lineRule="auto"/>
    </w:pPr>
    <w:rPr>
      <w:rFonts w:ascii="Times New Roman" w:eastAsia="Times New Roman" w:hAnsi="Times New Roman" w:cs="Times New Roman"/>
      <w:sz w:val="20"/>
      <w:szCs w:val="20"/>
      <w:lang w:eastAsia="en-AU"/>
    </w:rPr>
    <w:tblPr>
      <w:tblInd w:w="0" w:type="nil"/>
    </w:tblPr>
  </w:style>
  <w:style w:type="paragraph" w:styleId="NoSpacing">
    <w:name w:val="No Spacing"/>
    <w:uiPriority w:val="1"/>
    <w:qFormat/>
    <w:rsid w:val="009F2E0F"/>
    <w:pPr>
      <w:spacing w:after="0" w:line="240" w:lineRule="auto"/>
    </w:pPr>
  </w:style>
  <w:style w:type="paragraph" w:default="1" w:styleId="Normal">
    <w:name w:val="Normal"/>
    <w:qFormat/>
  </w:style>
  <w:style w:type="paragraph" w:styleId="Heading2">
    <w:name w:val="heading 2"/>
    <w:basedOn w:val="Normal"/>
    <w:next w:val="Normal"/>
    <w:link w:val="Heading2Char"/>
    <w:autoRedefine/>
    <w:qFormat/>
    <w:rsid w:val="00484B5F"/>
    <w:pPr>
      <w:keepNext/>
      <w:numPr>
        <w:numId w:val="9"/>
      </w:numPr>
      <w:spacing w:after="120" w:line="240" w:lineRule="auto"/>
      <w:ind w:left="851" w:right="-188" w:hanging="851"/>
      <w:outlineLvl w:val="1"/>
    </w:pPr>
    <w:rPr>
      <w:rFonts w:ascii="Arial" w:eastAsia="Times New Roman" w:hAnsi="Arial" w:cs="Arial"/>
      <w:bCs/>
      <w:iCs/>
      <w:color w:val="7395B3"/>
      <w:sz w:val="32"/>
      <w:szCs w:val="32"/>
      <w:lang w:eastAsia="en-AU"/>
    </w:rPr>
  </w:style>
  <w:style w:type="paragraph" w:styleId="Heading3">
    <w:name w:val="heading 3"/>
    <w:basedOn w:val="Normal"/>
    <w:next w:val="Heading4"/>
    <w:link w:val="Heading3Char"/>
    <w:autoRedefine/>
    <w:qFormat/>
    <w:rsid w:val="00247CED"/>
    <w:pPr>
      <w:keepNext/>
      <w:tabs>
        <w:tab w:val="num" w:pos="142"/>
      </w:tabs>
      <w:spacing w:after="0" w:line="240" w:lineRule="auto"/>
      <w:ind w:left="851" w:hanging="851"/>
      <w:outlineLvl w:val="2"/>
    </w:pPr>
    <w:rPr>
      <w:rFonts w:ascii="Arial" w:eastAsia="Times New Roman" w:hAnsi="Arial" w:cs="Arial"/>
      <w:b/>
      <w:bCs/>
      <w:color w:val="06162F"/>
      <w:sz w:val="24"/>
      <w:szCs w:val="24"/>
      <w:lang w:eastAsia="en-AU"/>
    </w:rPr>
  </w:style>
  <w:style w:type="paragraph" w:styleId="Heading4">
    <w:name w:val="heading 4"/>
    <w:basedOn w:val="Normal"/>
    <w:next w:val="Normal"/>
    <w:link w:val="Heading4Char"/>
    <w:uiPriority w:val="9"/>
    <w:semiHidden/>
    <w:unhideWhenUsed/>
    <w:qFormat/>
    <w:rsid w:val="00F97E79"/>
    <w:pPr>
      <w:keepNext/>
      <w:keepLines/>
      <w:spacing w:before="40" w:after="0"/>
      <w:outlineLvl w:val="3"/>
    </w:pPr>
    <w:rPr>
      <w:rFonts w:asciiTheme="majorHAnsi" w:eastAsiaTheme="majorEastAsia" w:hAnsiTheme="majorHAnsi" w:cstheme="majorBidi"/>
      <w:i/>
      <w:iCs/>
      <w:color w:val="862F2D"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E79"/>
    <w:rPr>
      <w:color w:val="7395B3" w:themeColor="hyperlink"/>
      <w:u w:val="single"/>
    </w:rPr>
  </w:style>
  <w:style w:type="paragraph" w:styleId="TOC3">
    <w:name w:val="toc 3"/>
    <w:basedOn w:val="Normal"/>
    <w:next w:val="Normal"/>
    <w:uiPriority w:val="39"/>
    <w:qFormat/>
    <w:rsid w:val="00F97E79"/>
    <w:pPr>
      <w:tabs>
        <w:tab w:val="left" w:pos="567"/>
        <w:tab w:val="left" w:pos="1134"/>
        <w:tab w:val="right" w:pos="7655"/>
      </w:tabs>
      <w:spacing w:after="0" w:line="270" w:lineRule="atLeast"/>
      <w:ind w:left="1134" w:hanging="567"/>
    </w:pPr>
    <w:rPr>
      <w:rFonts w:ascii="Ebrima" w:eastAsia="Times New Roman" w:hAnsi="Ebrima" w:cs="Times New Roman"/>
      <w:noProof/>
      <w:sz w:val="20"/>
      <w:lang w:eastAsia="en-AU"/>
    </w:rPr>
  </w:style>
  <w:style w:type="paragraph" w:styleId="TOC2">
    <w:name w:val="toc 2"/>
    <w:basedOn w:val="Normal"/>
    <w:next w:val="Normal"/>
    <w:uiPriority w:val="39"/>
    <w:qFormat/>
    <w:rsid w:val="00F97E79"/>
    <w:pPr>
      <w:keepNext/>
      <w:pBdr>
        <w:bottom w:val="single" w:sz="4" w:space="1" w:color="auto"/>
        <w:between w:val="single" w:sz="2" w:space="1" w:color="auto"/>
      </w:pBdr>
      <w:tabs>
        <w:tab w:val="left" w:pos="567"/>
        <w:tab w:val="right" w:pos="7655"/>
      </w:tabs>
      <w:spacing w:before="113" w:after="85" w:line="240" w:lineRule="atLeast"/>
      <w:ind w:left="567" w:hanging="567"/>
    </w:pPr>
    <w:rPr>
      <w:rFonts w:ascii="Ebrima" w:eastAsia="Times New Roman" w:hAnsi="Ebrima" w:cs="Times New Roman"/>
      <w:b/>
      <w:noProof/>
      <w:sz w:val="20"/>
      <w:lang w:eastAsia="en-AU"/>
    </w:rPr>
  </w:style>
  <w:style w:type="paragraph" w:styleId="ListParagraph">
    <w:name w:val="List Paragraph"/>
    <w:basedOn w:val="Normal"/>
    <w:link w:val="ListParagraphChar"/>
    <w:uiPriority w:val="34"/>
    <w:qFormat/>
    <w:rsid w:val="00F97E79"/>
    <w:pPr>
      <w:spacing w:after="0" w:line="240" w:lineRule="auto"/>
      <w:ind w:left="720" w:hanging="720"/>
      <w:contextualSpacing/>
    </w:pPr>
    <w:rPr>
      <w:rFonts w:ascii="Georgia" w:hAnsi="Georgia"/>
    </w:rPr>
  </w:style>
  <w:style w:type="character" w:customStyle="1" w:styleId="ListParagraphChar">
    <w:name w:val="List Paragraph Char"/>
    <w:basedOn w:val="DefaultParagraphFont"/>
    <w:link w:val="ListParagraph"/>
    <w:uiPriority w:val="34"/>
    <w:rsid w:val="00F97E79"/>
    <w:rPr>
      <w:rFonts w:ascii="Georgia" w:hAnsi="Georgia"/>
    </w:rPr>
  </w:style>
  <w:style w:type="paragraph" w:styleId="Header">
    <w:name w:val="header"/>
    <w:basedOn w:val="Normal"/>
    <w:link w:val="HeaderChar"/>
    <w:uiPriority w:val="99"/>
    <w:unhideWhenUsed/>
    <w:rsid w:val="00F97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79"/>
  </w:style>
  <w:style w:type="paragraph" w:styleId="Footer">
    <w:name w:val="footer"/>
    <w:basedOn w:val="Normal"/>
    <w:link w:val="FooterChar"/>
    <w:uiPriority w:val="99"/>
    <w:unhideWhenUsed/>
    <w:rsid w:val="00F97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79"/>
  </w:style>
  <w:style w:type="character" w:customStyle="1" w:styleId="Heading2Char">
    <w:name w:val="Heading 2 Char"/>
    <w:basedOn w:val="DefaultParagraphFont"/>
    <w:link w:val="Heading2"/>
    <w:rsid w:val="00484B5F"/>
    <w:rPr>
      <w:rFonts w:ascii="Arial" w:eastAsia="Times New Roman" w:hAnsi="Arial" w:cs="Arial"/>
      <w:bCs/>
      <w:iCs/>
      <w:color w:val="7395B3"/>
      <w:sz w:val="32"/>
      <w:szCs w:val="32"/>
      <w:lang w:eastAsia="en-AU"/>
    </w:rPr>
  </w:style>
  <w:style w:type="character" w:customStyle="1" w:styleId="Heading3Char">
    <w:name w:val="Heading 3 Char"/>
    <w:basedOn w:val="DefaultParagraphFont"/>
    <w:link w:val="Heading3"/>
    <w:rsid w:val="00247CED"/>
    <w:rPr>
      <w:rFonts w:ascii="Arial" w:eastAsia="Times New Roman" w:hAnsi="Arial" w:cs="Arial"/>
      <w:b/>
      <w:bCs/>
      <w:color w:val="06162F"/>
      <w:sz w:val="24"/>
      <w:szCs w:val="24"/>
      <w:lang w:eastAsia="en-AU"/>
    </w:rPr>
  </w:style>
  <w:style w:type="character" w:customStyle="1" w:styleId="Heading4Char">
    <w:name w:val="Heading 4 Char"/>
    <w:basedOn w:val="DefaultParagraphFont"/>
    <w:link w:val="Heading4"/>
    <w:uiPriority w:val="9"/>
    <w:semiHidden/>
    <w:rsid w:val="00F97E79"/>
    <w:rPr>
      <w:rFonts w:asciiTheme="majorHAnsi" w:eastAsiaTheme="majorEastAsia" w:hAnsiTheme="majorHAnsi" w:cstheme="majorBidi"/>
      <w:i/>
      <w:iCs/>
      <w:color w:val="862F2D" w:themeColor="accent1" w:themeShade="BF"/>
    </w:rPr>
  </w:style>
  <w:style w:type="paragraph" w:customStyle="1" w:styleId="DocTitle">
    <w:name w:val="DocTitle"/>
    <w:basedOn w:val="Normal"/>
    <w:next w:val="Normal"/>
    <w:uiPriority w:val="30"/>
    <w:unhideWhenUsed/>
    <w:rsid w:val="00B1656E"/>
    <w:pPr>
      <w:spacing w:before="960" w:after="0" w:line="760" w:lineRule="atLeast"/>
    </w:pPr>
    <w:rPr>
      <w:rFonts w:ascii="Georgia" w:eastAsia="Times New Roman" w:hAnsi="Georgia" w:cs="Times New Roman"/>
      <w:color w:val="E65F14"/>
      <w:sz w:val="80"/>
      <w:szCs w:val="20"/>
      <w:lang w:eastAsia="en-AU"/>
    </w:rPr>
  </w:style>
  <w:style w:type="character" w:styleId="PageNumber">
    <w:name w:val="page number"/>
    <w:basedOn w:val="DefaultParagraphFont"/>
    <w:uiPriority w:val="37"/>
    <w:unhideWhenUsed/>
    <w:rsid w:val="00C51ED3"/>
    <w:rPr>
      <w:rFonts w:ascii="Arial" w:hAnsi="Arial"/>
    </w:rPr>
  </w:style>
  <w:style w:type="paragraph" w:customStyle="1" w:styleId="paragraph">
    <w:name w:val="paragraph"/>
    <w:basedOn w:val="Normal"/>
    <w:rsid w:val="00035F3B"/>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035F3B"/>
  </w:style>
  <w:style w:type="character" w:customStyle="1" w:styleId="eop">
    <w:name w:val="eop"/>
    <w:basedOn w:val="DefaultParagraphFont"/>
    <w:rsid w:val="00035F3B"/>
  </w:style>
  <w:style w:type="character" w:customStyle="1" w:styleId="findhit">
    <w:name w:val="findhit"/>
    <w:basedOn w:val="DefaultParagraphFont"/>
    <w:rsid w:val="00035F3B"/>
  </w:style>
  <w:style w:type="paragraph" w:styleId="Revision">
    <w:name w:val="Revision"/>
    <w:hidden/>
    <w:uiPriority w:val="99"/>
    <w:semiHidden/>
    <w:rsid w:val="005D038E"/>
    <w:pPr>
      <w:spacing w:after="0" w:line="240" w:lineRule="auto"/>
    </w:pPr>
  </w:style>
  <w:style w:type="character" w:styleId="CommentReference">
    <w:name w:val="annotation reference"/>
    <w:basedOn w:val="DefaultParagraphFont"/>
    <w:uiPriority w:val="99"/>
    <w:semiHidden/>
    <w:unhideWhenUsed/>
    <w:rsid w:val="009F7916"/>
    <w:rPr>
      <w:sz w:val="16"/>
      <w:szCs w:val="16"/>
    </w:rPr>
  </w:style>
  <w:style w:type="paragraph" w:styleId="CommentText">
    <w:name w:val="annotation text"/>
    <w:basedOn w:val="Normal"/>
    <w:link w:val="CommentTextChar"/>
    <w:uiPriority w:val="99"/>
    <w:unhideWhenUsed/>
    <w:rsid w:val="009F7916"/>
    <w:pPr>
      <w:spacing w:line="240" w:lineRule="auto"/>
    </w:pPr>
    <w:rPr>
      <w:sz w:val="20"/>
      <w:szCs w:val="20"/>
    </w:rPr>
  </w:style>
  <w:style w:type="character" w:customStyle="1" w:styleId="CommentTextChar">
    <w:name w:val="Comment Text Char"/>
    <w:basedOn w:val="DefaultParagraphFont"/>
    <w:link w:val="CommentText"/>
    <w:uiPriority w:val="99"/>
    <w:rsid w:val="009F7916"/>
    <w:rPr>
      <w:sz w:val="20"/>
      <w:szCs w:val="20"/>
    </w:rPr>
  </w:style>
  <w:style w:type="paragraph" w:styleId="CommentSubject">
    <w:name w:val="annotation subject"/>
    <w:basedOn w:val="CommentText"/>
    <w:next w:val="CommentText"/>
    <w:link w:val="CommentSubjectChar"/>
    <w:uiPriority w:val="99"/>
    <w:semiHidden/>
    <w:unhideWhenUsed/>
    <w:rsid w:val="009F7916"/>
    <w:rPr>
      <w:b/>
      <w:bCs/>
    </w:rPr>
  </w:style>
  <w:style w:type="character" w:customStyle="1" w:styleId="CommentSubjectChar">
    <w:name w:val="Comment Subject Char"/>
    <w:basedOn w:val="CommentTextChar"/>
    <w:link w:val="CommentSubject"/>
    <w:uiPriority w:val="99"/>
    <w:semiHidden/>
    <w:rsid w:val="009F7916"/>
    <w:rPr>
      <w:b/>
      <w:bCs/>
      <w:sz w:val="20"/>
      <w:szCs w:val="20"/>
    </w:rPr>
  </w:style>
  <w:style w:type="character" w:customStyle="1" w:styleId="normaltextrun0">
    <w:name w:val="normaltextrun0"/>
    <w:basedOn w:val="DefaultParagraphFont"/>
    <w:rsid w:val="00C84452"/>
  </w:style>
  <w:style w:type="character" w:customStyle="1" w:styleId="eop0">
    <w:name w:val="eop0"/>
    <w:basedOn w:val="DefaultParagraphFont"/>
    <w:rsid w:val="00C84452"/>
  </w:style>
  <w:style w:type="table" w:customStyle="1" w:styleId="TableNoGrid0">
    <w:name w:val="TableNoGrid0"/>
    <w:basedOn w:val="TableNormal"/>
    <w:rsid w:val="00C84452"/>
    <w:pPr>
      <w:spacing w:after="0" w:line="240" w:lineRule="auto"/>
    </w:pPr>
    <w:rPr>
      <w:rFonts w:ascii="Times New Roman" w:eastAsia="Times New Roman" w:hAnsi="Times New Roman" w:cs="Times New Roman"/>
      <w:sz w:val="20"/>
      <w:szCs w:val="20"/>
      <w:lang w:eastAsia="en-AU"/>
    </w:rPr>
    <w:tblPr>
      <w:tblInd w:w="0" w:type="nil"/>
    </w:tblPr>
  </w:style>
  <w:style w:type="paragraph" w:styleId="NoSpacing">
    <w:name w:val="No Spacing"/>
    <w:uiPriority w:val="1"/>
    <w:qFormat/>
    <w:rsid w:val="009F2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052">
      <w:bodyDiv w:val="1"/>
      <w:marLeft w:val="0"/>
      <w:marRight w:val="0"/>
      <w:marTop w:val="0"/>
      <w:marBottom w:val="0"/>
      <w:divBdr>
        <w:top w:val="none" w:sz="0" w:space="0" w:color="auto"/>
        <w:left w:val="none" w:sz="0" w:space="0" w:color="auto"/>
        <w:bottom w:val="none" w:sz="0" w:space="0" w:color="auto"/>
        <w:right w:val="none" w:sz="0" w:space="0" w:color="auto"/>
      </w:divBdr>
    </w:div>
    <w:div w:id="610629170">
      <w:bodyDiv w:val="1"/>
      <w:marLeft w:val="0"/>
      <w:marRight w:val="0"/>
      <w:marTop w:val="0"/>
      <w:marBottom w:val="0"/>
      <w:divBdr>
        <w:top w:val="none" w:sz="0" w:space="0" w:color="auto"/>
        <w:left w:val="none" w:sz="0" w:space="0" w:color="auto"/>
        <w:bottom w:val="none" w:sz="0" w:space="0" w:color="auto"/>
        <w:right w:val="none" w:sz="0" w:space="0" w:color="auto"/>
      </w:divBdr>
    </w:div>
    <w:div w:id="645621455">
      <w:bodyDiv w:val="1"/>
      <w:marLeft w:val="0"/>
      <w:marRight w:val="0"/>
      <w:marTop w:val="0"/>
      <w:marBottom w:val="0"/>
      <w:divBdr>
        <w:top w:val="none" w:sz="0" w:space="0" w:color="auto"/>
        <w:left w:val="none" w:sz="0" w:space="0" w:color="auto"/>
        <w:bottom w:val="none" w:sz="0" w:space="0" w:color="auto"/>
        <w:right w:val="none" w:sz="0" w:space="0" w:color="auto"/>
      </w:divBdr>
    </w:div>
    <w:div w:id="708381136">
      <w:bodyDiv w:val="1"/>
      <w:marLeft w:val="0"/>
      <w:marRight w:val="0"/>
      <w:marTop w:val="0"/>
      <w:marBottom w:val="0"/>
      <w:divBdr>
        <w:top w:val="none" w:sz="0" w:space="0" w:color="auto"/>
        <w:left w:val="none" w:sz="0" w:space="0" w:color="auto"/>
        <w:bottom w:val="none" w:sz="0" w:space="0" w:color="auto"/>
        <w:right w:val="none" w:sz="0" w:space="0" w:color="auto"/>
      </w:divBdr>
    </w:div>
    <w:div w:id="737947169">
      <w:bodyDiv w:val="1"/>
      <w:marLeft w:val="0"/>
      <w:marRight w:val="0"/>
      <w:marTop w:val="0"/>
      <w:marBottom w:val="0"/>
      <w:divBdr>
        <w:top w:val="none" w:sz="0" w:space="0" w:color="auto"/>
        <w:left w:val="none" w:sz="0" w:space="0" w:color="auto"/>
        <w:bottom w:val="none" w:sz="0" w:space="0" w:color="auto"/>
        <w:right w:val="none" w:sz="0" w:space="0" w:color="auto"/>
      </w:divBdr>
    </w:div>
    <w:div w:id="1298603228">
      <w:bodyDiv w:val="1"/>
      <w:marLeft w:val="0"/>
      <w:marRight w:val="0"/>
      <w:marTop w:val="0"/>
      <w:marBottom w:val="0"/>
      <w:divBdr>
        <w:top w:val="none" w:sz="0" w:space="0" w:color="auto"/>
        <w:left w:val="none" w:sz="0" w:space="0" w:color="auto"/>
        <w:bottom w:val="none" w:sz="0" w:space="0" w:color="auto"/>
        <w:right w:val="none" w:sz="0" w:space="0" w:color="auto"/>
      </w:divBdr>
    </w:div>
    <w:div w:id="1630742304">
      <w:bodyDiv w:val="1"/>
      <w:marLeft w:val="0"/>
      <w:marRight w:val="0"/>
      <w:marTop w:val="0"/>
      <w:marBottom w:val="0"/>
      <w:divBdr>
        <w:top w:val="none" w:sz="0" w:space="0" w:color="auto"/>
        <w:left w:val="none" w:sz="0" w:space="0" w:color="auto"/>
        <w:bottom w:val="none" w:sz="0" w:space="0" w:color="auto"/>
        <w:right w:val="none" w:sz="0" w:space="0" w:color="auto"/>
      </w:divBdr>
    </w:div>
    <w:div w:id="17255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Integrity Compliance">
      <a:dk1>
        <a:srgbClr val="7395B3"/>
      </a:dk1>
      <a:lt1>
        <a:srgbClr val="06162F"/>
      </a:lt1>
      <a:dk2>
        <a:srgbClr val="222222"/>
      </a:dk2>
      <a:lt2>
        <a:srgbClr val="8E5529"/>
      </a:lt2>
      <a:accent1>
        <a:srgbClr val="B33F3C"/>
      </a:accent1>
      <a:accent2>
        <a:srgbClr val="222222"/>
      </a:accent2>
      <a:accent3>
        <a:srgbClr val="FFFFFF"/>
      </a:accent3>
      <a:accent4>
        <a:srgbClr val="FFFFFF"/>
      </a:accent4>
      <a:accent5>
        <a:srgbClr val="FFFFFF"/>
      </a:accent5>
      <a:accent6>
        <a:srgbClr val="FFFFFF"/>
      </a:accent6>
      <a:hlink>
        <a:srgbClr val="7395B3"/>
      </a:hlink>
      <a:folHlink>
        <a:srgbClr val="0616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 Id="rId200" Type="http://schemas.openxmlformats.org/officeDocument/2006/relationships/numbering" Target="numbering.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 Id="rId200" Type="http://schemas.openxmlformats.org/officeDocument/2006/relationships/numbering" Target="numbering.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 Id="rId200" Type="http://schemas.openxmlformats.org/officeDocument/2006/relationships/numbering" Target="numbering.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164cbb-aca8-4287-a00d-219a9bcdc198">
      <Terms xmlns="http://schemas.microsoft.com/office/infopath/2007/PartnerControls"/>
    </lcf76f155ced4ddcb4097134ff3c332f>
    <TaxCatchAll xmlns="3137f341-5d6a-404c-906e-ed43b36800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9E23F89FD1EC4BA24AFFE0A733F580" ma:contentTypeVersion="20" ma:contentTypeDescription="Create a new document." ma:contentTypeScope="" ma:versionID="d30a2a846cafd840007e88c7f2a8489c">
  <xsd:schema xmlns:xsd="http://www.w3.org/2001/XMLSchema" xmlns:xs="http://www.w3.org/2001/XMLSchema" xmlns:p="http://schemas.microsoft.com/office/2006/metadata/properties" xmlns:ns1="http://schemas.microsoft.com/sharepoint/v3" xmlns:ns2="51164cbb-aca8-4287-a00d-219a9bcdc198" xmlns:ns3="3137f341-5d6a-404c-906e-ed43b368003f" targetNamespace="http://schemas.microsoft.com/office/2006/metadata/properties" ma:root="true" ma:fieldsID="7483fb8ddf571005986275b0e8ed79f9" ns1:_="" ns2:_="" ns3:_="">
    <xsd:import namespace="http://schemas.microsoft.com/sharepoint/v3"/>
    <xsd:import namespace="51164cbb-aca8-4287-a00d-219a9bcdc198"/>
    <xsd:import namespace="3137f341-5d6a-404c-906e-ed43b36800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64cbb-aca8-4287-a00d-219a9bcdc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91d87a-37bb-4975-99a2-5f5381fb87a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7f341-5d6a-404c-906e-ed43b36800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af840c-3c93-42c5-a5ee-9d1ec3fb2d4e}" ma:internalName="TaxCatchAll" ma:showField="CatchAllData" ma:web="3137f341-5d6a-404c-906e-ed43b36800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7225D-B76F-4E9C-9797-DCB65582ED5D}">
  <ds:schemaRefs>
    <ds:schemaRef ds:uri="http://schemas.microsoft.com/sharepoint/v3/contenttype/forms"/>
  </ds:schemaRefs>
</ds:datastoreItem>
</file>

<file path=customXml/itemProps2.xml><?xml version="1.0" encoding="utf-8"?>
<ds:datastoreItem xmlns:ds="http://schemas.openxmlformats.org/officeDocument/2006/customXml" ds:itemID="{B509AF4D-6B39-408C-8365-E169A7E4020C}">
  <ds:schemaRefs>
    <ds:schemaRef ds:uri="http://schemas.microsoft.com/office/infopath/2007/PartnerControls"/>
    <ds:schemaRef ds:uri="3137f341-5d6a-404c-906e-ed43b368003f"/>
    <ds:schemaRef ds:uri="http://purl.org/dc/dcmitype/"/>
    <ds:schemaRef ds:uri="http://schemas.microsoft.com/office/2006/documentManagement/types"/>
    <ds:schemaRef ds:uri="http://purl.org/dc/elements/1.1/"/>
    <ds:schemaRef ds:uri="http://schemas.microsoft.com/sharepoint/v3"/>
    <ds:schemaRef ds:uri="http://www.w3.org/XML/1998/namespace"/>
    <ds:schemaRef ds:uri="http://purl.org/dc/terms/"/>
    <ds:schemaRef ds:uri="http://schemas.openxmlformats.org/package/2006/metadata/core-properties"/>
    <ds:schemaRef ds:uri="51164cbb-aca8-4287-a00d-219a9bcdc198"/>
    <ds:schemaRef ds:uri="http://schemas.microsoft.com/office/2006/metadata/properties"/>
  </ds:schemaRefs>
</ds:datastoreItem>
</file>

<file path=customXml/itemProps3.xml><?xml version="1.0" encoding="utf-8"?>
<ds:datastoreItem xmlns:ds="http://schemas.openxmlformats.org/officeDocument/2006/customXml" ds:itemID="{2E02AA51-E685-4884-AC9D-50AD92F6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64cbb-aca8-4287-a00d-219a9bcdc198"/>
    <ds:schemaRef ds:uri="3137f341-5d6a-404c-906e-ed43b3680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11</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Giacomantonio</dc:creator>
  <cp:keywords/>
  <dc:description/>
  <cp:lastModifiedBy>Melissa Magro</cp:lastModifiedBy>
  <cp:revision>290</cp:revision>
  <dcterms:created xsi:type="dcterms:W3CDTF">2022-08-26T00:31:00Z</dcterms:created>
  <dcterms:modified xsi:type="dcterms:W3CDTF">2025-09-16T23:46:00Z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0x010100CF9E23F89FD1EC4BA24AFFE0A733F580</vt:lpwstr>
  </property>
  <property fmtid="{D5CDD505-2E9C-101B-9397-08002B2CF9AE}" pid="3" name="MediaServiceImageTags">
    <vt:lpwstr/>
  </property>
</Properties>
</file>